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0119200000121008248</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14.07.2021</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3C3F2D" w:rsidRPr="003C3F2D" w:rsidRDefault="003C3F2D" w:rsidP="003C3F2D">
      <w:pPr>
        <w:widowControl w:val="0"/>
        <w:autoSpaceDE w:val="0"/>
        <w:autoSpaceDN w:val="0"/>
        <w:adjustRightInd w:val="0"/>
        <w:spacing w:before="60" w:after="60" w:line="240" w:lineRule="auto"/>
        <w:ind w:firstLine="567"/>
        <w:jc w:val="both"/>
        <w:rPr>
          <w:rFonts w:ascii="Times New Roman" w:hAnsi="Times New Roman"/>
          <w:sz w:val="24"/>
          <w:szCs w:val="24"/>
        </w:rPr>
      </w:pPr>
      <w:r>
        <w:rPr>
          <w:rFonts w:ascii="Times New Roman" w:hAnsi="Times New Roman"/>
          <w:sz w:val="24"/>
          <w:szCs w:val="24"/>
        </w:rPr>
        <w:t/>
      </w:r>
    </w:p>
    <w:p w:rsidR="00E74CD9" w:rsidRPr="003C3F2D"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131A3C">
        <w:rPr>
          <w:rFonts w:ascii="Times New Roman" w:hAnsi="Times New Roman"/>
          <w:sz w:val="24"/>
          <w:szCs w:val="24"/>
        </w:rPr>
        <w:t>КРАЕВОЕ ГОСУДАРСТВЕННОЕ БЮДЖЕТНОЕ УЧРЕЖДЕНИЕ СОЦИАЛЬНОГО ОБСЛУЖИВАНИЯ "МАГАНСКИЙ ПСИХОНЕВРОЛОГИЧЕСКИЙ ИНТЕРНАТ", КРАЕВОЕ ГОСУДАРСТВЕННОЕ БЮДЖЕТНОЕ УЧРЕЖДЕНИЕ ЗДРАВООХРАНЕНИЯ "КРАСНОЯРСКИЙ МЕЖРАЙОННЫЙ РОДИЛЬНЫЙ ДОМ № 4", КРАЕВОЕ ГОСУДАРСТВЕННОЕ БЮДЖЕТНОЕ ОБЩЕОБРАЗОВАТЕЛЬНОЕ УЧРЕЖДЕНИЕ "КЕДРОВЫЙ КАДЕТСКИЙ КОРПУС", КРАЕВОЕ ГОСУДАРСТВЕННОЕ БЮДЖЕТНОЕ УЧРЕЖДЕНИЕ ЗДРАВООХРАНЕНИЯ "КРАСНОЯРСКИЙ МЕЖРАЙОННЫЙ РОДИЛЬНЫЙ ДОМ № 5", КРАЕВОЕ ГОСУДАРСТВЕННОЕ БЮДЖЕТНОЕ УЧРЕЖДЕНИЕ ЗДРАВООХРАНЕНИЯ "СОСНОВОБОРСКАЯ ГОРОДСКАЯ БОЛЬНИЦА", КРАЕВОЕ ГОСУДАРСТВЕННОЕ БЮДЖЕТНОЕ ПРОФЕССИОНАЛЬНОЕ ОБРАЗОВАТЕЛЬНОЕ УЧРЕЖДЕНИЕ "КРАСНОЯРСКИЙ ТЕХНОЛОГИЧЕСКИЙ ТЕХНИКУМ ПИЩЕВОЙ ПРОМЫШЛЕННОСТИ", КРАЕВОЕ ГОСУДАРСТВЕННОЕ БЮДЖЕТНОЕ УЧРЕЖДЕНИЕ ЗДРАВООХРАНЕНИЯ "БЕРЕЗОВСКАЯ РАЙОННАЯ БОЛЬНИЦА", КРАЕВОЕ ГОСУДАРСТВЕННОЕ БЮДЖЕТНОЕ УЧРЕЖДЕНИЕ СОЦИАЛЬНОГО ОБСЛУЖИВАНИЯ "КОМПЛЕКСНЫЙ ЦЕНТР СОЦИАЛЬНОГО ОБСЛУЖИВАНИЯ НАСЕЛЕНИЯ "СУХОБУЗИМСКИЙ"</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3C3F2D">
        <w:rPr>
          <w:rFonts w:ascii="Times New Roman" w:hAnsi="Times New Roman"/>
          <w:sz w:val="24"/>
          <w:szCs w:val="24"/>
        </w:rPr>
        <w:t>212240401500624040100100810010000244, 212246501267624650100100900010000244, 212241101278224110100100190010000611, 212246303264524630100100450010000244, 212245800479424580100100850010000244, 212246500532624650100100320011061244, 212240400317724040100101150011061244, 212243500696424350100100200010000244</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3C3F2D">
        <w:rPr>
          <w:rFonts w:ascii="Times New Roman" w:hAnsi="Times New Roman"/>
          <w:sz w:val="24"/>
          <w:szCs w:val="24"/>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3C3F2D">
        <w:rPr>
          <w:rFonts w:ascii="Times New Roman" w:hAnsi="Times New Roman"/>
          <w:sz w:val="24"/>
          <w:szCs w:val="24"/>
        </w:rPr>
        <w:t>ЭА 8967/21 Макароны и мука поставка: с сентября 2021 года по апрель 2022 г (включительно) (г. Красноярск и прилегающие территории)</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F31E0F">
        <w:rPr>
          <w:rFonts w:ascii="Times New Roman" w:hAnsi="Times New Roman"/>
          <w:sz w:val="24"/>
          <w:szCs w:val="24"/>
        </w:rPr>
        <w:t>309696.10</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30.06.2021</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F31E0F">
        <w:rPr>
          <w:rFonts w:ascii="Times New Roman" w:hAnsi="Times New Roman"/>
          <w:sz w:val="24"/>
          <w:szCs w:val="24"/>
        </w:rPr>
        <w:t>14.07.2021 в 11 час. 31 мин.</w:t>
      </w:r>
      <w:r w:rsidR="00C87B49" w:rsidRPr="0065384E">
        <w:rPr>
          <w:rFonts w:ascii="Times New Roman" w:hAnsi="Times New Roman"/>
          <w:sz w:val="24"/>
          <w:szCs w:val="24"/>
        </w:rPr>
        <w:t xml:space="preserve"> по адресу: </w:t>
      </w:r>
      <w:r w:rsidR="00C91FA0" w:rsidRPr="00F31E0F">
        <w:rPr>
          <w:rFonts w:ascii="Times New Roman" w:hAnsi="Times New Roman"/>
          <w:sz w:val="24"/>
          <w:szCs w:val="24"/>
        </w:rPr>
        <w:t>Российская Федерация, 660049, Красноярский край, Красноярск г, ПРОСПЕКТ МИРА, ДОМ 10</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Яценко Александр Александрович</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Гашимова Екатерина Андреевна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Вавилкина Анастасия Александровна</w:t>
            </w:r>
          </w:p>
        </w:tc>
      </w:tr>
    </w:tbl>
    <w:p w:rsidR="00131A3C" w:rsidRDefault="00131A3C" w:rsidP="00131A3C">
      <w:pPr>
        <w:widowControl w:val="0"/>
        <w:autoSpaceDE w:val="0"/>
        <w:autoSpaceDN w:val="0"/>
        <w:adjustRightInd w:val="0"/>
        <w:spacing w:before="60" w:after="60" w:line="240" w:lineRule="auto"/>
        <w:ind w:firstLine="567"/>
        <w:jc w:val="both"/>
        <w:rPr>
          <w:rFonts w:ascii="Times New Roman" w:hAnsi="Times New Roman"/>
          <w:sz w:val="24"/>
          <w:szCs w:val="24"/>
        </w:rPr>
      </w:pPr>
      <w:r w:rsidRPr="0090157A">
        <w:rPr>
          <w:rFonts w:ascii="Times New Roman" w:hAnsi="Times New Roman"/>
          <w:sz w:val="24"/>
          <w:szCs w:val="24"/>
        </w:rPr>
        <w:t>Кворум имеется</w:t>
      </w:r>
      <w:r>
        <w:rPr>
          <w:rFonts w:ascii="Times New Roman" w:hAnsi="Times New Roman"/>
          <w:sz w:val="24"/>
          <w:szCs w:val="24"/>
        </w:rPr>
        <w:t>.</w:t>
      </w:r>
      <w:bookmarkStart w:id="0" w:name="_GoBack"/>
      <w:bookmarkEnd w:id="0"/>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13.07.2021 08:00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4</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304833, 304843, 304945, 305449</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4"/>
        <w:gridCol w:w="2657"/>
        <w:gridCol w:w="1775"/>
        <w:gridCol w:w="1419"/>
        <w:gridCol w:w="2128"/>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304833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12.07.2021 14:11:15</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304843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12.07.2021 14:19:36</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304945</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12.07.2021 15:48:02</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4</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305449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12.07.2021 20:49:18</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r w:rsidR="00D9751F" w:rsidRPr="0065384E">
        <w:rPr>
          <w:rFonts w:ascii="Times New Roman" w:hAnsi="Times New Roman"/>
          <w:sz w:val="24"/>
          <w:szCs w:val="24"/>
        </w:rPr>
        <w:t xml:space="preserve"> </w:t>
      </w:r>
    </w:p>
    <w:p w:rsidR="00834677" w:rsidRDefault="0089733A" w:rsidP="00885B08">
      <w:pPr>
        <w:widowControl w:val="0"/>
        <w:autoSpaceDE w:val="0"/>
        <w:autoSpaceDN w:val="0"/>
        <w:adjustRightInd w:val="0"/>
        <w:spacing w:before="60" w:after="60" w:line="240" w:lineRule="auto"/>
        <w:jc w:val="both"/>
        <w:rPr>
          <w:rFonts w:ascii="Times New Roman" w:hAnsi="Times New Roman"/>
          <w:sz w:val="24"/>
          <w:szCs w:val="24"/>
        </w:rPr>
      </w:pPr>
      <w:r w:rsidRPr="0065384E">
        <w:rPr>
          <w:rFonts w:ascii="Times New Roman" w:hAnsi="Times New Roman"/>
          <w:sz w:val="24"/>
          <w:szCs w:val="24"/>
        </w:rPr>
        <w:t>
          <w:tbl>
            <w:tblGrid>
              <w:gridCol w:w="200" w:type="dxa"/>
              <w:gridCol w:w="200" w:type="dxa"/>
              <w:gridCol w:w="200" w:type="dxa"/>
              <w:gridCol w:w="200" w:type="dxa"/>
            </w:tblGrid>
            <w:tblPr>
              <w:tblW w:w="5000" w:type="pct"/>
              <w:tblLayout w:type="autofit"/>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W w:w="200" w:type="dxa"/>
                </w:tcPr>
                <w:p>
                  <w:pPr>
                    <w:jc w:val="center"/>
                  </w:pPr>
                  <w:r>
                    <w:rPr>
                      <w:rFonts w:ascii="Times New Roman" w:hAnsi="Times New Roman" w:eastAsia="Times New Roman" w:cs="Times New Roman"/>
                      <w:sz w:val="24"/>
                      <w:szCs w:val="24"/>
                      <w:b/>
                      <w:bCs/>
                    </w:rPr>
                    <w:t xml:space="preserve">Идентификационный номер заявки</w:t>
                  </w:r>
                </w:p>
              </w:tc>
              <w:tc>
                <w:tcPr>
                  <w:tcW w:w="200" w:type="dxa"/>
                </w:tcPr>
                <w:p>
                  <w:pPr>
                    <w:jc w:val="center"/>
                  </w:pPr>
                  <w:r>
                    <w:rPr>
                      <w:rFonts w:ascii="Times New Roman" w:hAnsi="Times New Roman" w:eastAsia="Times New Roman" w:cs="Times New Roman"/>
                      <w:sz w:val="24"/>
                      <w:szCs w:val="24"/>
                      <w:b/>
                      <w:bCs/>
                    </w:rPr>
                    <w:t xml:space="preserve">Яценко Александр Александрович</w:t>
                  </w:r>
                </w:p>
              </w:tc>
              <w:tc>
                <w:tcPr>
                  <w:tcW w:w="200" w:type="dxa"/>
                </w:tcPr>
                <w:p>
                  <w:pPr>
                    <w:jc w:val="center"/>
                  </w:pPr>
                  <w:r>
                    <w:rPr>
                      <w:rFonts w:ascii="Times New Roman" w:hAnsi="Times New Roman" w:eastAsia="Times New Roman" w:cs="Times New Roman"/>
                      <w:sz w:val="24"/>
                      <w:szCs w:val="24"/>
                      <w:b/>
                      <w:bCs/>
                    </w:rPr>
                    <w:t xml:space="preserve">Гашимова Екатерина Андреевна</w:t>
                  </w:r>
                </w:p>
              </w:tc>
              <w:tc>
                <w:tcPr>
                  <w:tcW w:w="200" w:type="dxa"/>
                </w:tcPr>
                <w:p>
                  <w:pPr>
                    <w:jc w:val="center"/>
                  </w:pPr>
                  <w:r>
                    <w:rPr>
                      <w:rFonts w:ascii="Times New Roman" w:hAnsi="Times New Roman" w:eastAsia="Times New Roman" w:cs="Times New Roman"/>
                      <w:sz w:val="24"/>
                      <w:szCs w:val="24"/>
                      <w:b/>
                      <w:bCs/>
                    </w:rPr>
                    <w:t xml:space="preserve">Вавилкина Анастасия Александровна</w:t>
                  </w:r>
                </w:p>
              </w:tc>
            </w:tr>
            <w:tr>
              <w:trPr/>
              <w:tc>
                <w:tcPr>
                  <w:tcW w:w="200" w:type="dxa"/>
                </w:tcPr>
                <w:p>
                  <w:pPr>
                    <w:jc w:val="center"/>
                  </w:pPr>
                  <w:r>
                    <w:rPr>
                      <w:rFonts w:ascii="Times New Roman" w:hAnsi="Times New Roman" w:eastAsia="Times New Roman" w:cs="Times New Roman"/>
                      <w:sz w:val="24"/>
                      <w:szCs w:val="24"/>
                    </w:rPr>
                    <w:t xml:space="preserve">304833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304843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304945</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305449</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bl>
        </w:t>
      </w:r>
    </w:p>
    <w:p w:rsidR="00E41E63" w:rsidRPr="00D726AC" w:rsidRDefault="00E41E63" w:rsidP="00E41E63">
      <w:pPr>
        <w:widowControl w:val="0"/>
        <w:autoSpaceDE w:val="0"/>
        <w:autoSpaceDN w:val="0"/>
        <w:adjustRightInd w:val="0"/>
        <w:spacing w:before="60" w:after="60" w:line="240" w:lineRule="auto"/>
        <w:jc w:val="both"/>
        <w:rPr>
          <w:rFonts w:ascii="Times New Roman" w:hAnsi="Times New Roman"/>
          <w:sz w:val="24"/>
          <w:szCs w:val="24"/>
        </w:rPr>
      </w:pPr>
      <w:r w:rsidRPr="002E1EED">
        <w:rPr>
          <w:rFonts w:ascii="Times New Roman" w:hAnsi="Times New Roman"/>
          <w:sz w:val="24"/>
          <w:szCs w:val="24"/>
        </w:rPr>
        <w:t> </w:t>
      </w: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Яценко Александр Александрович</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Гашимова Екатерина Андреевна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Вавилкина Анастасия Александровна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87C70"/>
    <w:rsid w:val="000A4D6F"/>
    <w:rsid w:val="00104F5B"/>
    <w:rsid w:val="00131A3C"/>
    <w:rsid w:val="00162BFC"/>
    <w:rsid w:val="001A6DF9"/>
    <w:rsid w:val="00252067"/>
    <w:rsid w:val="00272F23"/>
    <w:rsid w:val="002D3D3B"/>
    <w:rsid w:val="003257B1"/>
    <w:rsid w:val="003C3F2D"/>
    <w:rsid w:val="004445AE"/>
    <w:rsid w:val="00445364"/>
    <w:rsid w:val="004719BA"/>
    <w:rsid w:val="004B5D27"/>
    <w:rsid w:val="005440BB"/>
    <w:rsid w:val="005442C0"/>
    <w:rsid w:val="005525D8"/>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56FC6"/>
    <w:rsid w:val="00B02CC9"/>
    <w:rsid w:val="00B71638"/>
    <w:rsid w:val="00BF1C7C"/>
    <w:rsid w:val="00C245D0"/>
    <w:rsid w:val="00C87B49"/>
    <w:rsid w:val="00C91FA0"/>
    <w:rsid w:val="00CE6036"/>
    <w:rsid w:val="00D74A09"/>
    <w:rsid w:val="00D9751F"/>
    <w:rsid w:val="00E23B43"/>
    <w:rsid w:val="00E41E6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49901210">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2103</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Касаткина Ольга Ивановна</cp:lastModifiedBy>
  <cp:revision>15</cp:revision>
  <dcterms:created xsi:type="dcterms:W3CDTF">2019-07-22T07:06:00Z</dcterms:created>
  <dcterms:modified xsi:type="dcterms:W3CDTF">2021-05-13T16:16:00Z</dcterms:modified>
</cp:coreProperties>
</file>