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0119200000120015995</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14.01.2021</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E74CD9"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65384E">
        <w:rPr>
          <w:rFonts w:ascii="Times New Roman" w:hAnsi="Times New Roman"/>
          <w:sz w:val="24"/>
          <w:szCs w:val="24"/>
          <w:lang w:val="en-US"/>
        </w:rPr>
        <w:t>КРАЕВОЕ ГОСУДАРСТВЕННОЕ БЮДЖЕТНОЕ УЧРЕЖДЕНИЕ ЗДРАВООХРАНЕНИЯ "ТАСЕЕВСКАЯ РАЙОННАЯ БОЛЬНИЦА", КРАЕВОЕ ГОСУДАРСТВЕННОЕ БЮДЖЕТНОЕ УЧРЕЖДЕНИЕ ЗДРАВООХРАНЕНИЯ "САЯНСКАЯ  РАЙОННАЯ БОЛЬНИЦА", КРАЕВОЕ ГОСУДАРСТВЕННОЕ КАЗЕННОЕ УЧРЕЖДЕНИЕ ДЛЯ ДЕТЕЙ-СИРОТ И ДЕТЕЙ, ОСТАВШИХСЯ БЕЗ ПОПЕЧЕНИЯ РОДИТЕЛЕЙ "ПАРТИЗАНСКИЙ ДЕТСКИЙ ДОМ", КРАЕВОЕ ГОСУДАРСТВЕННОЕ БЮДЖЕТНОЕ УЧРЕЖДЕНИЕ ЗДРАВООХРАНЕНИЯ "КАНСКАЯ МЕЖРАЙОННАЯ БОЛЬНИЦА", КРАЕВОЕ ГОСУДАРСТВЕННОЕ БЮДЖЕТНО</w:t>
      </w:r>
      <w:bookmarkStart w:id="0" w:name="_GoBack"/>
      <w:bookmarkEnd w:id="0"/>
      <w:r w:rsidR="00036041" w:rsidRPr="0065384E">
        <w:rPr>
          <w:rFonts w:ascii="Times New Roman" w:hAnsi="Times New Roman"/>
          <w:sz w:val="24"/>
          <w:szCs w:val="24"/>
          <w:lang w:val="en-US"/>
        </w:rPr>
        <w:t>Е УЧРЕЖДЕНИЕ ЗДРАВООХРАНЕНИЯ "КРАСНОЯРСКИЙ КРАЕВОЙ ПСИХОНЕВРОЛОГИЧЕСКИЙ ДИСПАНСЕР № 1", КРАЕВОЕ ГОСУДАРСТВЕННОЕ БЮДЖЕТНОЕ УЧРЕЖДЕНИЕ ЗДРАВООХРАНЕНИЯ "ПАРТИЗАНСКАЯ РАЙОННАЯ БОЛЬНИЦА", КРАЕВОЕ ГОСУДАРСТВЕННОЕ БЮДЖЕТНОЕ ОБЩЕОБРАЗОВАТЕЛЬНОЕ УЧРЕЖДЕНИЕ "УЯРСКАЯ ШКОЛА-ИНТЕРНАТ", КРАЕВОЕ ГОСУДАРСТВЕННОЕ КАЗЕННОЕ УЧРЕЖДЕНИЕ ДЛЯ ДЕТЕЙ-СИРОТ И ДЕТЕЙ, ОСТАВШИХСЯ БЕЗ ПОПЕЧЕНИЯ РОДИТЕЛЕЙ "БОРОДИНСКИЙ ДЕТСКИЙ ДОМ", КРАЕВОЕ ГОСУДАРСТВЕННОЕ БЮДЖЕТНОЕ УЧРЕЖДЕНИЕ СОЦИАЛЬНОГО ОБСЛУЖИВАНИЯ "СПЕЦИАЛЬНЫЙ ДОМ-ИНТЕРНАТ ДЛЯ ГРАЖДАН ПОЖИЛОГО ВОЗРАСТА И ИНВАЛИДОВ "САЯНСКИЙ", КРАЕВОЕ ГОСУДАРСТВЕННОЕ БЮДЖЕТНОЕ УЧРЕЖДЕНИЕ ЗДРАВООХРАНЕНИЯ "КРАСНОЯРСКИЙ КРАЕВОЙ ПРОТИВОТУБЕРКУЛЕЗНЫЙ ДИСПАНСЕР № 1", КРАЕВОЕ ГОСУДАРСТВЕННОЕ КАЗЕННОЕ УЧРЕЖДЕНИЕ ДЛЯ ДЕТЕЙ-СИРОТ И ДЕТЕЙ, ОСТАВШИХСЯ БЕЗ ПОПЕЧЕНИЯ РОДИТЕЛЕЙ "ИРБЕЙСКИЙ ДЕТСКИЙ ДОМ", КРАЕВОЕ ГОСУДАРСТВЕННОЕ БЮДЖЕТНОЕ УЧРЕЖДЕНИЕ ЗДРАВООХРАНЕНИЯ "АБАНСКАЯ РАЙОННАЯ БОЛЬНИЦА", КРАЕВОЕ ГОСУДАРСТВЕННОЕ БЮДЖЕТНОЕ УЧРЕЖДЕНИЕ ЗДРАВООХРАНЕНИЯ "ИЛАНСКАЯ РАЙОННАЯ БОЛЬНИЦА", КРАЕВОЕ ГОСУДАРСТВЕННОЕ БЮДЖЕТНОЕ УЧРЕЖДЕНИЕ ЗДРАВООХРАНЕНИЯ "НИЖНЕИНГАШСКАЯ РАЙОННАЯ БОЛЬНИЦА", КРАЕВОЕ ГОСУДАРСТВЕННОЕ БЮДЖЕТНОЕ ОБЩЕОБРАЗОВАТЕЛЬНОЕ УЧРЕЖДЕНИЕ "КАНСКИЙ МОРСКОЙ КАДЕТСКИЙ КОРПУС", КРАЕВОЕ ГОСУДАРСТВЕННОЕ КАЗЕННОЕ УЧРЕЖДЕНИЕ ЗДРАВООХРАНЕНИЯ "КРАСНОЯРСКИЙ КРАЕВОЙ ДОМ РЕБЕНКА №2", КРАЕВОЕ ГОСУДАРСТВЕННОЕ БЮДЖЕТНОЕ УЧРЕЖДЕНИЕ ЗДРАВООХРАНЕНИЯ "ДЗЕРЖИНСКАЯ РАЙОННАЯ БОЛЬНИЦА", КРАЕВОЕ ГОСУДАРСТВЕННОЕ КАЗЕННОЕ УЧРЕЖДЕНИЕ ДЛЯ ДЕТЕЙ-СИРОТ И ДЕТЕЙ, ОСТАВШИХСЯ БЕЗ ПОПЕЧЕНИЯ РОДИТЕЛЕЙ "ЗЕЛЕНОГОРСКИЙ ДЕТСКИЙ ДОМ", КРАЕВОЕ ГОСУДАРСТВЕННОЕ БЮДЖЕТНОЕ УЧРЕЖДЕНИЕ СОЦИАЛЬНОГО ОБСЛУЖИВАНИЯ "ЦЕНТР СОЦИАЛЬНОЙ ПОМОЩИ СЕМЬЕ И ДЕТЯМ "ИЛАНСКИЙ", КРАЕВОЕ ГОСУДАРСТВЕННОЕ БЮДЖЕТНОЕ УЧРЕЖДЕНИЕ ЗДРАВООХРАНЕНИЯ  "РЫБИНСКАЯ РАЙОННАЯ БОЛЬНИЦА", КРАЕВОЕ ГОСУДАРСТВЕННОЕ БЮДЖЕТНОЕ УЧРЕЖДЕНИЕ СОЦИАЛЬНОГО ОБСЛУЖИВАНИЯ  "ЦЕНТР СОЦИАЛЬНОЙ ПОМОЩИ СЕМЬЕ И ДЕТЯМ "ДЗЕРЖИНСКИЙ", КРАЕВОЕ ГОСУДАРСТВЕННОЕ БЮДЖЕТНОЕ ОБЩЕОБРАЗОВАТЕЛЬНОЕ УЧРЕЖДЕНИЕ "ЗЕЛЕНОГОРСКАЯ ШКОЛА-ИНТЕРНАТ", КРАЕВОЕ ГОСУДАРСТВЕННОЕ КАЗЕННОЕ УЧРЕЖДЕНИЕ ЗДРАВООХРАНЕНИЯ "ДЕТСКИЙ САНАТОРИЙ "БЕРЕЗКА", КРАЕВОЕ ГОСУДАРСТВЕННОЕ КАЗЕННОЕ УЧРЕЖДЕНИЕ ДЛЯ ДЕТЕЙ-СИРОТ И ДЕТЕЙ, ОСТАВШИХСЯ БЕЗ ПОПЕЧЕНИЯ РОДИТЕЛЕЙ "КАНСКИЙ ДЕТСКИЙ ДОМ ИМ. Ю.А. ГАГАРИНА", КРАЕВОЕ ГОСУДАРСТВЕННОЕ БЮДЖЕТНОЕ УЧРЕЖДЕНИЕ СОЦИАЛЬНОГО ОБСЛУЖИВАНИЯ "ЦЕНТР СОЦИАЛЬНОЙ ПОМОЩИ СЕМЬЕ И ДЕТЯМ "ЗЕЛЕНОГОРСКИЙ", КРАЕВОЕ ГОСУДАРСТВЕННОЕ КАЗЕННОЕ УЧРЕЖДЕНИЕ ДЛЯ ДЕТЕЙ-СИРОТ И ДЕТЕЙ, ОСТАВШИХСЯ БЕЗ ПОПЕЧЕНИЯ РОДИТЕЛЕЙ "ДЗЕРЖИНСКИЙ ДЕТСКИЙ ДОМ", КРАЕВОЕ ГОСУДАРСТВЕННОЕ БЮДЖЕТНОЕ ПРОФЕССИОНАЛЬНОЕ ОБРАЗОВАТЕЛЬНОЕ УЧРЕЖДЕНИЕ "КАНСКИЙ ПОЛИТЕХНИЧЕСКИЙ КОЛЛЕДЖ"</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lastRenderedPageBreak/>
        <w:t>Идентификационный код закупки</w:t>
      </w:r>
      <w:r w:rsidRPr="0065384E">
        <w:rPr>
          <w:rFonts w:ascii="Times New Roman" w:hAnsi="Times New Roman"/>
          <w:sz w:val="24"/>
          <w:szCs w:val="24"/>
        </w:rPr>
        <w:t xml:space="preserve">: </w:t>
      </w:r>
      <w:r w:rsidR="00036041" w:rsidRPr="0065384E">
        <w:rPr>
          <w:rFonts w:ascii="Times New Roman" w:hAnsi="Times New Roman"/>
          <w:sz w:val="24"/>
          <w:szCs w:val="24"/>
          <w:lang w:val="en-US"/>
        </w:rPr>
        <w:t>202243600072524360100101390010000244, 202243300102224330100102440010000244, 202243000168024300100100350010000244, 202245003195824500100104540020000244, 202246322019824630100103230010000244, 202243000064824300100101390010000244, 202244000402424400100100270010000244, 202244500164424450100100210010000244, 202243300149524330100100230010000244, 202246400842024640100104950010000244, 202241600292524160100100190010000244, 202240100017824010100101640010000244, 202241500190424150100102320010000244, 202242800170024280100101420020000244, 202245001476924500100100170010000000, 202245002096324500100100850010000244, 202241000010324100100101520010000244, 202245301390024530100100660010000244, 202241500464824150100100160010000244, 202243200223124480100101670010000000, 202241000206924100100100270010000244, 202245300566724530100100350010000000, 202245000529924500100101020010000244, 202245000148824500100100420010000244, 202245300953424530100100350010000244, 202241000305524100100100210010000244, 202245000177724500100100670010000244</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A42F71">
        <w:rPr>
          <w:rFonts w:ascii="Times New Roman" w:hAnsi="Times New Roman"/>
          <w:sz w:val="24"/>
          <w:szCs w:val="24"/>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A42F71">
        <w:rPr>
          <w:rFonts w:ascii="Times New Roman" w:hAnsi="Times New Roman"/>
          <w:sz w:val="24"/>
          <w:szCs w:val="24"/>
        </w:rPr>
        <w:t>№ ЭА 105927/20 «Поставка фруктов на 2021-2022 год (г. Канск и прилегающие территории)»</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F31E0F">
        <w:rPr>
          <w:rFonts w:ascii="Times New Roman" w:hAnsi="Times New Roman"/>
          <w:sz w:val="24"/>
          <w:szCs w:val="24"/>
        </w:rPr>
        <w:t>18614266.31</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29.12.2020</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F31E0F">
        <w:rPr>
          <w:rFonts w:ascii="Times New Roman" w:hAnsi="Times New Roman"/>
          <w:sz w:val="24"/>
          <w:szCs w:val="24"/>
        </w:rPr>
        <w:t>14.01.2021 в 09 час. 34 мин.</w:t>
      </w:r>
      <w:r w:rsidR="00C87B49" w:rsidRPr="0065384E">
        <w:rPr>
          <w:rFonts w:ascii="Times New Roman" w:hAnsi="Times New Roman"/>
          <w:sz w:val="24"/>
          <w:szCs w:val="24"/>
        </w:rPr>
        <w:t xml:space="preserve"> по адресу: </w:t>
      </w:r>
      <w:r w:rsidR="00C91FA0" w:rsidRPr="00F31E0F">
        <w:rPr>
          <w:rFonts w:ascii="Times New Roman" w:hAnsi="Times New Roman"/>
          <w:sz w:val="24"/>
          <w:szCs w:val="24"/>
        </w:rPr>
        <w:t>Российская Федерация, 660049, Красноярский край, Красноярск г, ПРОСПЕКТ МИРА, ДОМ 10</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Преловская Татьяна Владимировна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Штеле Анастасия Павловна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Вавилкина Анастасия Александровна</w:t>
            </w:r>
          </w:p>
        </w:tc>
      </w:tr>
    </w:tbl>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13.01.2021 08:00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3</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168333, 169757, 170133</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3"/>
        <w:gridCol w:w="3329"/>
        <w:gridCol w:w="2674"/>
        <w:gridCol w:w="1317"/>
        <w:gridCol w:w="2160"/>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168333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06.01.2021 14:27:41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169757</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12.01.2021 0:54:26</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170133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12.01.2021 16:12:39</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89733A" w:rsidRPr="0065384E" w:rsidRDefault="0089733A" w:rsidP="00BF1C7C">
            <w:pPr>
              <w:spacing w:after="0" w:line="240" w:lineRule="auto"/>
              <w:rPr>
                <w:rFonts w:ascii="Times New Roman" w:hAnsi="Times New Roman"/>
                <w:sz w:val="24"/>
                <w:szCs w:val="24"/>
                <w:lang w:eastAsia="en-US"/>
              </w:rPr>
            </w:pPr>
          </w:p>
          <w:p w:rsidR="00BF1C7C" w:rsidRPr="0065384E" w:rsidRDefault="00BF1C7C" w:rsidP="00BF1C7C">
            <w:pPr>
              <w:spacing w:after="0" w:line="240" w:lineRule="auto"/>
              <w:rPr>
                <w:rFonts w:ascii="Times New Roman" w:hAnsi="Times New Roman"/>
                <w:sz w:val="24"/>
                <w:szCs w:val="24"/>
                <w:lang w:val="en-US" w:eastAsia="en-US"/>
              </w:rPr>
            </w:pP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lastRenderedPageBreak/>
        <w:t>Сведения о решении каждого члена аукционной комиссии:</w:t>
      </w:r>
      <w:r w:rsidR="00D9751F" w:rsidRPr="0065384E">
        <w:rPr>
          <w:rFonts w:ascii="Times New Roman" w:hAnsi="Times New Roman"/>
          <w:sz w:val="24"/>
          <w:szCs w:val="24"/>
        </w:rPr>
        <w:t xml:space="preserve"> </w:t>
      </w:r>
    </w:p>
    <w:tbl>
      <w:tblPr>
        <w:tblW w:w="5000" w:type="pct"/>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firstRow="1" w:lastRow="0" w:firstColumn="1" w:lastColumn="0" w:noHBand="0" w:noVBand="1"/>
      </w:tblPr>
      <w:tblGrid>
        <w:gridCol w:w="3455"/>
        <w:gridCol w:w="2449"/>
        <w:gridCol w:w="1826"/>
        <w:gridCol w:w="2533"/>
      </w:tblGrid>
      <w:tr w:rsidR="00583DFF">
        <w:tc>
          <w:tcPr>
            <w:tcW w:w="200" w:type="dxa"/>
          </w:tcPr>
          <w:p w:rsidR="0089733A" w:rsidRPr="0065384E" w:rsidRDefault="00525C66" w:rsidP="00885B08">
            <w:pPr>
              <w:widowControl w:val="0"/>
              <w:autoSpaceDE w:val="0"/>
              <w:autoSpaceDN w:val="0"/>
              <w:adjustRightInd w:val="0"/>
              <w:spacing w:before="60" w:after="60" w:line="240" w:lineRule="auto"/>
              <w:jc w:val="center"/>
              <w:rPr>
                <w:rFonts w:ascii="Times New Roman" w:hAnsi="Times New Roman"/>
                <w:sz w:val="24"/>
                <w:szCs w:val="24"/>
              </w:rPr>
            </w:pPr>
            <w:r>
              <w:rPr>
                <w:rFonts w:ascii="Times New Roman" w:hAnsi="Times New Roman"/>
                <w:b/>
                <w:bCs/>
                <w:sz w:val="24"/>
                <w:szCs w:val="24"/>
              </w:rPr>
              <w:t>Идентификационный номер заявки</w:t>
            </w:r>
          </w:p>
        </w:tc>
        <w:tc>
          <w:tcPr>
            <w:tcW w:w="200" w:type="dxa"/>
          </w:tcPr>
          <w:p w:rsidR="00583DFF" w:rsidRDefault="00525C66">
            <w:pPr>
              <w:jc w:val="center"/>
            </w:pPr>
            <w:r>
              <w:rPr>
                <w:rFonts w:ascii="Times New Roman" w:hAnsi="Times New Roman"/>
                <w:b/>
                <w:bCs/>
                <w:sz w:val="24"/>
                <w:szCs w:val="24"/>
              </w:rPr>
              <w:t>Преловская Татьяна Владимировна</w:t>
            </w:r>
          </w:p>
        </w:tc>
        <w:tc>
          <w:tcPr>
            <w:tcW w:w="200" w:type="dxa"/>
          </w:tcPr>
          <w:p w:rsidR="00583DFF" w:rsidRDefault="00525C66">
            <w:pPr>
              <w:jc w:val="center"/>
            </w:pPr>
            <w:r>
              <w:rPr>
                <w:rFonts w:ascii="Times New Roman" w:hAnsi="Times New Roman"/>
                <w:b/>
                <w:bCs/>
                <w:sz w:val="24"/>
                <w:szCs w:val="24"/>
              </w:rPr>
              <w:t>Штеле Анастасия Павловна</w:t>
            </w:r>
          </w:p>
        </w:tc>
        <w:tc>
          <w:tcPr>
            <w:tcW w:w="200" w:type="dxa"/>
          </w:tcPr>
          <w:p w:rsidR="00583DFF" w:rsidRDefault="00525C66">
            <w:pPr>
              <w:jc w:val="center"/>
            </w:pPr>
            <w:r>
              <w:rPr>
                <w:rFonts w:ascii="Times New Roman" w:hAnsi="Times New Roman"/>
                <w:b/>
                <w:bCs/>
                <w:sz w:val="24"/>
                <w:szCs w:val="24"/>
              </w:rPr>
              <w:t>Вавилкина Анастасия Александровна</w:t>
            </w:r>
          </w:p>
        </w:tc>
      </w:tr>
      <w:tr w:rsidR="00583DFF">
        <w:tc>
          <w:tcPr>
            <w:tcW w:w="200" w:type="dxa"/>
          </w:tcPr>
          <w:p w:rsidR="00583DFF" w:rsidRDefault="00525C66">
            <w:pPr>
              <w:jc w:val="center"/>
            </w:pPr>
            <w:r>
              <w:rPr>
                <w:rFonts w:ascii="Times New Roman" w:hAnsi="Times New Roman"/>
                <w:sz w:val="24"/>
                <w:szCs w:val="24"/>
              </w:rPr>
              <w:t>168333</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r>
      <w:tr w:rsidR="00583DFF">
        <w:tc>
          <w:tcPr>
            <w:tcW w:w="200" w:type="dxa"/>
          </w:tcPr>
          <w:p w:rsidR="00583DFF" w:rsidRDefault="00525C66">
            <w:pPr>
              <w:jc w:val="center"/>
            </w:pPr>
            <w:r>
              <w:rPr>
                <w:rFonts w:ascii="Times New Roman" w:hAnsi="Times New Roman"/>
                <w:sz w:val="24"/>
                <w:szCs w:val="24"/>
              </w:rPr>
              <w:t>169757</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r>
      <w:tr w:rsidR="00583DFF">
        <w:tc>
          <w:tcPr>
            <w:tcW w:w="200" w:type="dxa"/>
          </w:tcPr>
          <w:p w:rsidR="00583DFF" w:rsidRDefault="00525C66">
            <w:pPr>
              <w:jc w:val="center"/>
            </w:pPr>
            <w:r>
              <w:rPr>
                <w:rFonts w:ascii="Times New Roman" w:hAnsi="Times New Roman"/>
                <w:sz w:val="24"/>
                <w:szCs w:val="24"/>
              </w:rPr>
              <w:t>170133</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c>
          <w:tcPr>
            <w:tcW w:w="200" w:type="dxa"/>
          </w:tcPr>
          <w:p w:rsidR="00583DFF" w:rsidRDefault="00525C66">
            <w:pPr>
              <w:jc w:val="center"/>
            </w:pPr>
            <w:r>
              <w:rPr>
                <w:rFonts w:ascii="Times New Roman" w:hAnsi="Times New Roman"/>
                <w:sz w:val="24"/>
                <w:szCs w:val="24"/>
              </w:rPr>
              <w:t>допущена</w:t>
            </w:r>
          </w:p>
        </w:tc>
      </w:tr>
    </w:tbl>
    <w:p w:rsidR="00834677" w:rsidRDefault="00834677" w:rsidP="00885B08">
      <w:pPr>
        <w:widowControl w:val="0"/>
        <w:autoSpaceDE w:val="0"/>
        <w:autoSpaceDN w:val="0"/>
        <w:adjustRightInd w:val="0"/>
        <w:spacing w:before="60" w:after="60" w:line="240" w:lineRule="auto"/>
        <w:jc w:val="both"/>
        <w:rPr>
          <w:rFonts w:ascii="Times New Roman" w:hAnsi="Times New Roman"/>
          <w:sz w:val="24"/>
          <w:szCs w:val="24"/>
        </w:rPr>
      </w:pPr>
    </w:p>
    <w:p w:rsidR="00A42F71" w:rsidRPr="00D726AC" w:rsidRDefault="00A42F71" w:rsidP="00A42F71">
      <w:pPr>
        <w:widowControl w:val="0"/>
        <w:autoSpaceDE w:val="0"/>
        <w:autoSpaceDN w:val="0"/>
        <w:adjustRightInd w:val="0"/>
        <w:spacing w:before="60" w:after="60" w:line="240" w:lineRule="auto"/>
        <w:jc w:val="both"/>
        <w:rPr>
          <w:rFonts w:ascii="Times New Roman" w:hAnsi="Times New Roman"/>
          <w:sz w:val="24"/>
          <w:szCs w:val="24"/>
        </w:rPr>
      </w:pPr>
      <w:r w:rsidRPr="002E1EED">
        <w:rPr>
          <w:rFonts w:ascii="Times New Roman" w:hAnsi="Times New Roman"/>
          <w:sz w:val="24"/>
          <w:szCs w:val="24"/>
        </w:rPr>
        <w:t>Среди предложений участников закупки, признанных участниками электронного аукциона, 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Преловская Татьяна Владимировна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Штеле Анастасия Павловна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Вавилкина Анастасия Александровна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87C70"/>
    <w:rsid w:val="000A4D6F"/>
    <w:rsid w:val="00104F5B"/>
    <w:rsid w:val="00162BFC"/>
    <w:rsid w:val="001A6DF9"/>
    <w:rsid w:val="00252067"/>
    <w:rsid w:val="00272F23"/>
    <w:rsid w:val="002D3D3B"/>
    <w:rsid w:val="003257B1"/>
    <w:rsid w:val="00410729"/>
    <w:rsid w:val="004445AE"/>
    <w:rsid w:val="00445364"/>
    <w:rsid w:val="004719BA"/>
    <w:rsid w:val="004B5D27"/>
    <w:rsid w:val="00525C66"/>
    <w:rsid w:val="005440BB"/>
    <w:rsid w:val="005442C0"/>
    <w:rsid w:val="005525D8"/>
    <w:rsid w:val="00583DFF"/>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42F71"/>
    <w:rsid w:val="00A56FC6"/>
    <w:rsid w:val="00B02CC9"/>
    <w:rsid w:val="00B71638"/>
    <w:rsid w:val="00BF1C7C"/>
    <w:rsid w:val="00C245D0"/>
    <w:rsid w:val="00C87B49"/>
    <w:rsid w:val="00C91FA0"/>
    <w:rsid w:val="00CE6036"/>
    <w:rsid w:val="00D74A09"/>
    <w:rsid w:val="00D9751F"/>
    <w:rsid w:val="00E23B4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7063</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Vavilkina Anastasia</cp:lastModifiedBy>
  <cp:revision>2</cp:revision>
  <cp:lastPrinted>2021-01-14T02:32:00Z</cp:lastPrinted>
  <dcterms:created xsi:type="dcterms:W3CDTF">2021-01-14T02:33:00Z</dcterms:created>
  <dcterms:modified xsi:type="dcterms:W3CDTF">2021-01-14T02:33:00Z</dcterms:modified>
</cp:coreProperties>
</file>