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0119200000120013258</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26.11.2020</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E74CD9"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65384E">
        <w:rPr>
          <w:rFonts w:ascii="Times New Roman" w:hAnsi="Times New Roman"/>
          <w:sz w:val="24"/>
          <w:szCs w:val="24"/>
          <w:lang w:val="en-US"/>
        </w:rPr>
        <w:t>АГЕНТСТВО ЗАПИСИ АКТОВ ГРАЖДАНСКОГО СОСТОЯНИЯ КРАСНОЯРСКОГО КРАЯ, КРАЕВОЕ ГОСУДАРСТВЕННОЕ КАЗЕННОЕ УЧРЕЖДЕНИЕ ДЛЯ ДЕТЕЙ-СИРОТ И ДЕТЕЙ, ОСТАВШИХСЯ БЕЗ ПОПЕЧЕНИЯ РОДИТЕЛЕЙ "АЧИНСКИЙ ДЕТСКИЙ ДОМ", КРАЕВОЕ ГОСУДАРСТВЕННОЕ БЮДЖЕТНОЕ УЧРЕЖДЕНИЕ СОЦИАЛЬНОГО ОБСЛУЖИВАНИЯ "ЦЕНТР СОЦИАЛЬНОЙ ПОМОЩИ СЕМЬЕ И ДЕТЯМ "БИРИЛЮССКИЙ", КРАЕВОЕ ГОСУДАРСТВЕННОЕ БЮДЖЕТНОЕ ПРОФЕССИОНАЛЬНОЕ ОБРАЗОВАТЕЛЬНОЕ УЧРЕЖДЕНИЕ "АЧИНСКИЙ ПЕДАГОГИЧЕСКИЙ КОЛЛЕДЖ", КРАЕВОЕ ГОСУДАРСТВЕННОЕ БЮДЖЕТНОЕ УЧРЕЖДЕНИЕ "МНОГОФУНКЦИОНАЛЬНЫЙ ЦЕНТР ПРЕДОСТАВЛЕНИЯ ГОСУДАРСТВЕННЫХ И МУНИЦИПАЛЬНЫХ УСЛУГ", КРАЕВОЕ ГОСУДАРСТВЕННОЕ БЮДЖЕТНОЕ УЧРЕЖДЕНИЕ СОЦИАЛЬНОГО ОБСЛУЖИВАНИЯ "КОМПЛЕКСНЫЙ ЦЕНТР СОЦИАЛЬНОГО ОБСЛУЖИВАНИЯ НАСЕЛЕНИЯ "ТЮХТЕТСКИЙ", КРАЕВОЕ ГОСУДАРСТВЕННОЕ БЮДЖЕТНОЕ УЧРЕЖДЕНИЕ СОЦИАЛЬНОГО ОБСЛУЖИВАНИЯ "НОВОСЕЛОВСКИЙ ДОМ- ИНТЕРНАТ ДЛЯ ГРАЖДАН ПОЖИЛОГО ВОЗРАСТА И ИНВАЛИДОВ", КРАЕВОЕ ГОСУДАРСТВЕННОЕ БЮДЖЕТНОЕ ПРОФЕССИОНАЛЬНОЕ ОБРАЗОВАТЕЛЬНОЕ УЧРЕЖДЕНИЕ "НАЗАРОВСКИЙ АГРАРНЫЙ ТЕХНИКУМ ИМ. А.Ф. ВЕПРЕВА", КРАЕВОЕ ГОСУДАРСТВЕННОЕ БЮДЖЕТНОЕ УЧРЕЖДЕНИЕ СОЦИАЛЬНОГО ОБСЛУЖИВАНИЯ "КОМПЛЕКСНЫЙ ЦЕНТР СОЦИАЛЬНОГО ОБСЛУЖИВАНИЯ НАСЕЛЕНИЯ "НАДЕЖДА", КРАЕВОЕ ГОСУДАРСТВЕННОЕ БЮДЖЕТНОЕ УЧРЕЖДЕНИЕ СОЦИАЛЬНОГО ОБСЛУЖИВАНИЯ "ЦЕНТР СОЦИАЛЬНОЙ ПОМОЩИ СЕМЬЕ И ДЕТЯМ "ПРИМОРСКИЙ", КРАЕВОЕ ГОСУДАРСТВЕННОЕ БЮДЖЕТНОЕ УЧРЕЖДЕНИЕ СОЦИАЛЬНОГО ОБСЛУЖИВАНИЯ "КОМПЛЕКСНЫЙ ЦЕНТР СОЦИАЛЬНОГО ОБСЛУЖИВАНИЯ НАСЕЛЕНИЯ "НОВОСЕЛОВСКИЙ"</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65384E">
        <w:rPr>
          <w:rFonts w:ascii="Times New Roman" w:hAnsi="Times New Roman"/>
          <w:sz w:val="24"/>
          <w:szCs w:val="24"/>
          <w:lang w:val="en-US"/>
        </w:rPr>
        <w:t>202246509540024650100102130018129244, 202244301591624430100100310018129244, 202240500498424050100100150018129000, 202244300658024430100100710018129244, 202246523227024650100103890018129244, 203243830122024380100100050018129000, 202242900223124290100100390018129244, 202245600138924560100100370028129244, 203244430202124440100100700018129244, 202242900279224290100100380018129000, 203242900222424290100100420018129244</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A42F71">
        <w:rPr>
          <w:rFonts w:ascii="Times New Roman" w:hAnsi="Times New Roman"/>
          <w:sz w:val="24"/>
          <w:szCs w:val="24"/>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A42F71">
        <w:rPr>
          <w:rFonts w:ascii="Times New Roman" w:hAnsi="Times New Roman"/>
          <w:sz w:val="24"/>
          <w:szCs w:val="24"/>
        </w:rPr>
        <w:t>№ЭА 95273-20 «Оказание услуг по дератизации и дезинсекции субъектами малого предпринимательства, социально ориентированными некоммерческими организациями на 2021 год  г. Ачинск и прилегающие территории вне рамок оказания медицинской помощи »</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F31E0F">
        <w:rPr>
          <w:rFonts w:ascii="Times New Roman" w:hAnsi="Times New Roman"/>
          <w:sz w:val="24"/>
          <w:szCs w:val="24"/>
        </w:rPr>
        <w:t>586787.54</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17.11.2020</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F31E0F">
        <w:rPr>
          <w:rFonts w:ascii="Times New Roman" w:hAnsi="Times New Roman"/>
          <w:sz w:val="24"/>
          <w:szCs w:val="24"/>
        </w:rPr>
        <w:t>26.11.2020 в 10 час. 26 мин.</w:t>
      </w:r>
      <w:r w:rsidR="00C87B49" w:rsidRPr="0065384E">
        <w:rPr>
          <w:rFonts w:ascii="Times New Roman" w:hAnsi="Times New Roman"/>
          <w:sz w:val="24"/>
          <w:szCs w:val="24"/>
        </w:rPr>
        <w:t xml:space="preserve"> по адресу: </w:t>
      </w:r>
      <w:r w:rsidR="00C91FA0" w:rsidRPr="00F31E0F">
        <w:rPr>
          <w:rFonts w:ascii="Times New Roman" w:hAnsi="Times New Roman"/>
          <w:sz w:val="24"/>
          <w:szCs w:val="24"/>
        </w:rPr>
        <w:t>Российская Федерация, 660049, Красноярский край, Красноярск г, ПРОСПЕКТ МИРА, ДОМ 10</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Железцов Евгений Вячеславович</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Путинцева Анастасия Игоревна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Михневич Елена Анатольевна</w:t>
            </w:r>
          </w:p>
        </w:tc>
      </w:tr>
    </w:tbl>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26.11.2020 09:00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5</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141939, 144193, 144359, 144649, 146881</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4"/>
        <w:gridCol w:w="2657"/>
        <w:gridCol w:w="1775"/>
        <w:gridCol w:w="1419"/>
        <w:gridCol w:w="2128"/>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141939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18.11.2020 10:57:12</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144193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23.11.2020 0:30:50</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144359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23.11.2020 12:46:46</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4</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144649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23.11.2020 16:57:54</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5</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146881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25.11.2020 15:10:37</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r w:rsidR="00D9751F" w:rsidRPr="0065384E">
        <w:rPr>
          <w:rFonts w:ascii="Times New Roman" w:hAnsi="Times New Roman"/>
          <w:sz w:val="24"/>
          <w:szCs w:val="24"/>
        </w:rPr>
        <w:t xml:space="preserve"> </w:t>
      </w:r>
    </w:p>
    <w:p w:rsidR="00834677" w:rsidRDefault="0089733A" w:rsidP="00885B08">
      <w:pPr>
        <w:widowControl w:val="0"/>
        <w:autoSpaceDE w:val="0"/>
        <w:autoSpaceDN w:val="0"/>
        <w:adjustRightInd w:val="0"/>
        <w:spacing w:before="60" w:after="60" w:line="240" w:lineRule="auto"/>
        <w:jc w:val="both"/>
        <w:rPr>
          <w:rFonts w:ascii="Times New Roman" w:hAnsi="Times New Roman"/>
          <w:sz w:val="24"/>
          <w:szCs w:val="24"/>
        </w:rPr>
      </w:pPr>
      <w:r w:rsidRPr="0065384E">
        <w:rPr>
          <w:rFonts w:ascii="Times New Roman" w:hAnsi="Times New Roman"/>
          <w:sz w:val="24"/>
          <w:szCs w:val="24"/>
        </w:rPr>
        <w:t>
          <w:tbl>
            <w:tblGrid>
              <w:gridCol w:w="200" w:type="dxa"/>
              <w:gridCol w:w="200" w:type="dxa"/>
              <w:gridCol w:w="200" w:type="dxa"/>
              <w:gridCol w:w="200" w:type="dxa"/>
            </w:tblGrid>
            <w:tblPr>
              <w:tblW w:w="5000" w:type="pct"/>
              <w:tblLayout w:type="autofit"/>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W w:w="200" w:type="dxa"/>
                </w:tcPr>
                <w:p>
                  <w:pPr>
                    <w:jc w:val="center"/>
                  </w:pPr>
                  <w:r>
                    <w:rPr>
                      <w:rFonts w:ascii="Times New Roman" w:hAnsi="Times New Roman" w:eastAsia="Times New Roman" w:cs="Times New Roman"/>
                      <w:sz w:val="24"/>
                      <w:szCs w:val="24"/>
                      <w:b/>
                      <w:bCs/>
                    </w:rPr>
                    <w:t xml:space="preserve">Идентификационный номер заявки</w:t>
                  </w:r>
                </w:p>
              </w:tc>
              <w:tc>
                <w:tcPr>
                  <w:tcW w:w="200" w:type="dxa"/>
                </w:tcPr>
                <w:p>
                  <w:pPr>
                    <w:jc w:val="center"/>
                  </w:pPr>
                  <w:r>
                    <w:rPr>
                      <w:rFonts w:ascii="Times New Roman" w:hAnsi="Times New Roman" w:eastAsia="Times New Roman" w:cs="Times New Roman"/>
                      <w:sz w:val="24"/>
                      <w:szCs w:val="24"/>
                      <w:b/>
                      <w:bCs/>
                    </w:rPr>
                    <w:t xml:space="preserve">Железцов Евгений Вячеславович </w:t>
                  </w:r>
                </w:p>
              </w:tc>
              <w:tc>
                <w:tcPr>
                  <w:tcW w:w="200" w:type="dxa"/>
                </w:tcPr>
                <w:p>
                  <w:pPr>
                    <w:jc w:val="center"/>
                  </w:pPr>
                  <w:r>
                    <w:rPr>
                      <w:rFonts w:ascii="Times New Roman" w:hAnsi="Times New Roman" w:eastAsia="Times New Roman" w:cs="Times New Roman"/>
                      <w:sz w:val="24"/>
                      <w:szCs w:val="24"/>
                      <w:b/>
                      <w:bCs/>
                    </w:rPr>
                    <w:t xml:space="preserve">Путинцева Анастасия Игоревна </w:t>
                  </w:r>
                </w:p>
              </w:tc>
              <w:tc>
                <w:tcPr>
                  <w:tcW w:w="200" w:type="dxa"/>
                </w:tcPr>
                <w:p>
                  <w:pPr>
                    <w:jc w:val="center"/>
                  </w:pPr>
                  <w:r>
                    <w:rPr>
                      <w:rFonts w:ascii="Times New Roman" w:hAnsi="Times New Roman" w:eastAsia="Times New Roman" w:cs="Times New Roman"/>
                      <w:sz w:val="24"/>
                      <w:szCs w:val="24"/>
                      <w:b/>
                      <w:bCs/>
                    </w:rPr>
                    <w:t xml:space="preserve">Михневич Елена Анатольевна</w:t>
                  </w:r>
                </w:p>
              </w:tc>
            </w:tr>
            <w:tr>
              <w:trPr/>
              <w:tc>
                <w:tcPr>
                  <w:tcW w:w="200" w:type="dxa"/>
                </w:tcPr>
                <w:p>
                  <w:pPr>
                    <w:jc w:val="center"/>
                  </w:pPr>
                  <w:r>
                    <w:rPr>
                      <w:rFonts w:ascii="Times New Roman" w:hAnsi="Times New Roman" w:eastAsia="Times New Roman" w:cs="Times New Roman"/>
                      <w:sz w:val="24"/>
                      <w:szCs w:val="24"/>
                    </w:rPr>
                    <w:t xml:space="preserve">141939</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144193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144359</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144649</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146881</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bl>
        </w:t>
      </w:r>
    </w:p>
    <w:p w:rsidR="00A42F71" w:rsidRPr="00D726AC" w:rsidRDefault="00A42F71" w:rsidP="00A42F71">
      <w:pPr>
        <w:widowControl w:val="0"/>
        <w:autoSpaceDE w:val="0"/>
        <w:autoSpaceDN w:val="0"/>
        <w:adjustRightInd w:val="0"/>
        <w:spacing w:before="60" w:after="60" w:line="240" w:lineRule="auto"/>
        <w:jc w:val="both"/>
        <w:rPr>
          <w:rFonts w:ascii="Times New Roman" w:hAnsi="Times New Roman"/>
          <w:sz w:val="24"/>
          <w:szCs w:val="24"/>
        </w:rPr>
      </w:pPr>
      <w:r w:rsidRPr="002E1EED">
        <w:rPr>
          <w:rFonts w:ascii="Times New Roman" w:hAnsi="Times New Roman"/>
          <w:sz w:val="24"/>
          <w:szCs w:val="24"/>
        </w:rPr>
        <w:t> </w:t>
      </w: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bookmarkStart w:id="0" w:name="_GoBack"/>
      <w:bookmarkEnd w:id="0"/>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Железцов Евгений Вячеславович</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Путинцева Анастасия Игоревна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Михневич Елена Анатольевна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87C70"/>
    <w:rsid w:val="000A4D6F"/>
    <w:rsid w:val="00104F5B"/>
    <w:rsid w:val="00162BFC"/>
    <w:rsid w:val="001A6DF9"/>
    <w:rsid w:val="00252067"/>
    <w:rsid w:val="00272F23"/>
    <w:rsid w:val="002D3D3B"/>
    <w:rsid w:val="003257B1"/>
    <w:rsid w:val="00410729"/>
    <w:rsid w:val="004445AE"/>
    <w:rsid w:val="00445364"/>
    <w:rsid w:val="004719BA"/>
    <w:rsid w:val="004B5D27"/>
    <w:rsid w:val="005440BB"/>
    <w:rsid w:val="005442C0"/>
    <w:rsid w:val="005525D8"/>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42F71"/>
    <w:rsid w:val="00A56FC6"/>
    <w:rsid w:val="00B02CC9"/>
    <w:rsid w:val="00B71638"/>
    <w:rsid w:val="00BF1C7C"/>
    <w:rsid w:val="00C245D0"/>
    <w:rsid w:val="00C87B49"/>
    <w:rsid w:val="00C91FA0"/>
    <w:rsid w:val="00CE6036"/>
    <w:rsid w:val="00D74A09"/>
    <w:rsid w:val="00D9751F"/>
    <w:rsid w:val="00E23B4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2066</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Касаткина Ольга Ивановна</cp:lastModifiedBy>
  <cp:revision>14</cp:revision>
  <dcterms:created xsi:type="dcterms:W3CDTF">2019-07-22T07:06:00Z</dcterms:created>
  <dcterms:modified xsi:type="dcterms:W3CDTF">2020-09-01T07:05:00Z</dcterms:modified>
</cp:coreProperties>
</file>