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66" w:rsidRPr="0065384E" w:rsidRDefault="006A3F66" w:rsidP="006A3F66">
      <w:pPr>
        <w:widowControl w:val="0"/>
        <w:autoSpaceDE w:val="0"/>
        <w:autoSpaceDN w:val="0"/>
        <w:adjustRightInd w:val="0"/>
        <w:spacing w:after="0" w:line="240" w:lineRule="auto"/>
        <w:jc w:val="center"/>
        <w:rPr>
          <w:rFonts w:ascii="Times New Roman" w:hAnsi="Times New Roman"/>
          <w:b/>
          <w:bCs/>
          <w:sz w:val="24"/>
          <w:szCs w:val="24"/>
        </w:rPr>
      </w:pPr>
      <w:bookmarkStart w:id="0" w:name="_GoBack"/>
      <w:bookmarkEnd w:id="0"/>
      <w:r w:rsidRPr="0065384E">
        <w:rPr>
          <w:rFonts w:ascii="Times New Roman" w:hAnsi="Times New Roman"/>
          <w:b/>
          <w:bCs/>
          <w:sz w:val="24"/>
          <w:szCs w:val="24"/>
        </w:rPr>
        <w:t xml:space="preserve">Протокол  </w:t>
      </w:r>
    </w:p>
    <w:p w:rsidR="006A3F66" w:rsidRPr="0065384E" w:rsidRDefault="006A3F66" w:rsidP="006A3F66">
      <w:pPr>
        <w:widowControl w:val="0"/>
        <w:autoSpaceDE w:val="0"/>
        <w:autoSpaceDN w:val="0"/>
        <w:adjustRightInd w:val="0"/>
        <w:spacing w:after="0" w:line="240" w:lineRule="auto"/>
        <w:jc w:val="center"/>
        <w:rPr>
          <w:rFonts w:ascii="Times New Roman" w:hAnsi="Times New Roman"/>
          <w:b/>
          <w:bCs/>
          <w:sz w:val="24"/>
          <w:szCs w:val="24"/>
        </w:rPr>
      </w:pPr>
      <w:r w:rsidRPr="0065384E">
        <w:rPr>
          <w:rFonts w:ascii="Times New Roman" w:hAnsi="Times New Roman"/>
          <w:b/>
          <w:bCs/>
          <w:sz w:val="24"/>
          <w:szCs w:val="24"/>
        </w:rPr>
        <w:t xml:space="preserve"> </w:t>
      </w:r>
      <w:r w:rsidR="005442C0" w:rsidRPr="0065384E">
        <w:rPr>
          <w:rFonts w:ascii="Times New Roman" w:hAnsi="Times New Roman"/>
          <w:b/>
          <w:bCs/>
          <w:sz w:val="24"/>
          <w:szCs w:val="24"/>
        </w:rPr>
        <w:t xml:space="preserve">рассмотрения заявок на участие в аукционе в электронной форме </w:t>
      </w:r>
      <w:r w:rsidRPr="0065384E">
        <w:rPr>
          <w:rFonts w:ascii="Times New Roman" w:hAnsi="Times New Roman"/>
          <w:b/>
          <w:bCs/>
          <w:sz w:val="24"/>
          <w:szCs w:val="24"/>
        </w:rPr>
        <w:t xml:space="preserve">  </w:t>
      </w:r>
    </w:p>
    <w:p w:rsidR="00D9751F" w:rsidRPr="0065384E" w:rsidRDefault="006A3F66" w:rsidP="006A3F66">
      <w:pPr>
        <w:widowControl w:val="0"/>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b/>
          <w:bCs/>
          <w:sz w:val="24"/>
          <w:szCs w:val="24"/>
        </w:rPr>
        <w:t xml:space="preserve"> </w:t>
      </w:r>
      <w:r w:rsidR="00036041" w:rsidRPr="0065384E">
        <w:rPr>
          <w:rFonts w:ascii="Times New Roman" w:hAnsi="Times New Roman"/>
          <w:b/>
          <w:bCs/>
          <w:sz w:val="24"/>
          <w:szCs w:val="24"/>
        </w:rPr>
        <w:t>0119200000120002938</w:t>
      </w:r>
      <w:r w:rsidR="00D9751F" w:rsidRPr="0065384E">
        <w:rPr>
          <w:rFonts w:ascii="Times New Roman" w:hAnsi="Times New Roman"/>
          <w:b/>
          <w:bCs/>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5096"/>
        <w:gridCol w:w="5132"/>
      </w:tblGrid>
      <w:tr w:rsidR="0065384E" w:rsidRPr="0065384E">
        <w:trPr>
          <w:trHeight w:val="100"/>
        </w:trPr>
        <w:tc>
          <w:tcPr>
            <w:tcW w:w="5096" w:type="dxa"/>
            <w:tcBorders>
              <w:top w:val="nil"/>
              <w:left w:val="nil"/>
              <w:bottom w:val="nil"/>
              <w:right w:val="nil"/>
            </w:tcBorders>
          </w:tcPr>
          <w:p w:rsidR="00D9751F" w:rsidRPr="0065384E" w:rsidRDefault="00104F5B" w:rsidP="00104F5B">
            <w:pPr>
              <w:widowControl w:val="0"/>
              <w:autoSpaceDE w:val="0"/>
              <w:autoSpaceDN w:val="0"/>
              <w:adjustRightInd w:val="0"/>
              <w:spacing w:after="0" w:line="240" w:lineRule="auto"/>
              <w:rPr>
                <w:rFonts w:ascii="Times New Roman" w:hAnsi="Times New Roman"/>
                <w:sz w:val="24"/>
                <w:szCs w:val="24"/>
                <w:lang w:val="en-US"/>
              </w:rPr>
            </w:pPr>
            <w:r w:rsidRPr="0065384E">
              <w:rPr>
                <w:rFonts w:ascii="Times New Roman" w:hAnsi="Times New Roman"/>
                <w:sz w:val="24"/>
                <w:szCs w:val="24"/>
                <w:shd w:val="clear" w:color="auto" w:fill="FFFFFF"/>
                <w:lang w:val="en-US"/>
              </w:rPr>
              <w:t>Красноярск</w:t>
            </w:r>
          </w:p>
        </w:tc>
        <w:tc>
          <w:tcPr>
            <w:tcW w:w="5132" w:type="dxa"/>
            <w:tcBorders>
              <w:top w:val="nil"/>
              <w:left w:val="nil"/>
              <w:bottom w:val="nil"/>
              <w:right w:val="nil"/>
            </w:tcBorders>
          </w:tcPr>
          <w:p w:rsidR="00D9751F" w:rsidRPr="0065384E" w:rsidRDefault="00883ED2" w:rsidP="00883ED2">
            <w:pPr>
              <w:widowControl w:val="0"/>
              <w:autoSpaceDE w:val="0"/>
              <w:autoSpaceDN w:val="0"/>
              <w:adjustRightInd w:val="0"/>
              <w:spacing w:after="0" w:line="240" w:lineRule="auto"/>
              <w:jc w:val="right"/>
              <w:rPr>
                <w:rFonts w:ascii="Times New Roman" w:hAnsi="Times New Roman"/>
                <w:sz w:val="24"/>
                <w:szCs w:val="24"/>
              </w:rPr>
            </w:pPr>
            <w:r w:rsidRPr="0065384E">
              <w:rPr>
                <w:rFonts w:ascii="Times New Roman" w:hAnsi="Times New Roman"/>
                <w:sz w:val="24"/>
                <w:szCs w:val="24"/>
                <w:shd w:val="clear" w:color="auto" w:fill="FFFFFF"/>
                <w:lang w:val="en-US"/>
              </w:rPr>
              <w:t>23.04.2020</w:t>
            </w:r>
            <w:r w:rsidR="006A3F66" w:rsidRPr="0065384E">
              <w:rPr>
                <w:rFonts w:ascii="Times New Roman" w:hAnsi="Times New Roman"/>
                <w:sz w:val="24"/>
                <w:szCs w:val="24"/>
                <w:shd w:val="clear" w:color="auto" w:fill="FFFFFF"/>
              </w:rPr>
              <w:t xml:space="preserve"> г.</w:t>
            </w:r>
          </w:p>
        </w:tc>
      </w:tr>
    </w:tbl>
    <w:p w:rsidR="00D9751F" w:rsidRPr="0065384E" w:rsidRDefault="00D9751F">
      <w:pPr>
        <w:widowControl w:val="0"/>
        <w:autoSpaceDE w:val="0"/>
        <w:autoSpaceDN w:val="0"/>
        <w:adjustRightInd w:val="0"/>
        <w:spacing w:after="0" w:line="240" w:lineRule="auto"/>
        <w:rPr>
          <w:rFonts w:ascii="Times New Roman" w:hAnsi="Times New Roman"/>
          <w:sz w:val="24"/>
          <w:szCs w:val="24"/>
        </w:rPr>
      </w:pPr>
      <w:r w:rsidRPr="0065384E">
        <w:rPr>
          <w:rFonts w:ascii="Times New Roman" w:hAnsi="Times New Roman"/>
          <w:sz w:val="24"/>
          <w:szCs w:val="24"/>
        </w:rPr>
        <w:t xml:space="preserve"> </w:t>
      </w:r>
    </w:p>
    <w:p w:rsidR="00E74CD9" w:rsidRPr="0065384E" w:rsidRDefault="00B02CC9" w:rsidP="00885B08">
      <w:pPr>
        <w:widowControl w:val="0"/>
        <w:autoSpaceDE w:val="0"/>
        <w:autoSpaceDN w:val="0"/>
        <w:adjustRightInd w:val="0"/>
        <w:spacing w:before="60" w:after="60" w:line="240" w:lineRule="auto"/>
        <w:ind w:firstLine="567"/>
        <w:jc w:val="both"/>
        <w:rPr>
          <w:rFonts w:ascii="Times New Roman" w:hAnsi="Times New Roman"/>
          <w:sz w:val="24"/>
          <w:szCs w:val="24"/>
          <w:lang w:val="en-US"/>
        </w:rPr>
      </w:pPr>
      <w:r w:rsidRPr="0065384E">
        <w:rPr>
          <w:rFonts w:ascii="Times New Roman" w:hAnsi="Times New Roman"/>
          <w:b/>
          <w:sz w:val="24"/>
          <w:szCs w:val="24"/>
        </w:rPr>
        <w:t>Заказчик</w:t>
      </w:r>
      <w:r w:rsidR="006A3F66" w:rsidRPr="0065384E">
        <w:rPr>
          <w:rFonts w:ascii="Times New Roman" w:hAnsi="Times New Roman"/>
          <w:b/>
          <w:sz w:val="24"/>
          <w:szCs w:val="24"/>
        </w:rPr>
        <w:t xml:space="preserve"> (и)</w:t>
      </w:r>
      <w:r w:rsidRPr="0065384E">
        <w:rPr>
          <w:rFonts w:ascii="Times New Roman" w:hAnsi="Times New Roman"/>
          <w:sz w:val="24"/>
          <w:szCs w:val="24"/>
        </w:rPr>
        <w:t xml:space="preserve">: </w:t>
      </w:r>
      <w:r w:rsidR="00036041" w:rsidRPr="0065384E">
        <w:rPr>
          <w:rFonts w:ascii="Times New Roman" w:hAnsi="Times New Roman"/>
          <w:sz w:val="24"/>
          <w:szCs w:val="24"/>
          <w:lang w:val="en-US"/>
        </w:rPr>
        <w:t xml:space="preserve">КРАЕВОЕ ГОСУДАРСТВЕННОЕ БЮДЖЕТНОЕ УЧРЕЖДЕНИЕ СОЦИАЛЬНОГО ОБСЛУЖИВАНИЯ "ПСИХОНЕВРОЛОГИЧЕСКИЙ ИНТЕРНАТ ДЛЯ ДЕТЕЙ "РОДНИЧОК", КРАЕВОЕ ГОСУДАРСТВЕННОЕ БЮДЖЕТНОЕ УЧРЕЖДЕНИЕ "МНОГОФУНКЦИОНАЛЬНЫЙ ЦЕНТР ПРЕДОСТАВЛЕНИЯ ГОСУДАРСТВЕННЫХ И МУНИЦИПАЛЬНЫХ УСЛУГ", КРАЕВОЕ ГОСУДАРСТВЕННОЕ БЮДЖЕТНОЕ УЧРЕЖДЕНИЕ ЗДРАВООХРАНЕНИЯ "КРАСНОЯРСКАЯ ГОРОДСКАЯ ПОЛИКЛИНИКА № 2", КРАЕВОЕ ГОСУДАРСТВЕННОЕ БЮДЖЕТНОЕ УЧРЕЖДЕНИЕ ЗДРАВООХРАНЕНИЯ "БЕРЕЗОВСКАЯ РАЙОННАЯ БОЛЬНИЦА", КРАЕВОЕ ГОСУДАРСТВЕННОЕ КАЗЕННОЕ УЧРЕЖДЕНИЕ "СПАСАТЕЛЬ", КРАЕВОЕ ГОСУДАРСТВЕННОЕ БЮДЖЕТНОЕ УЧРЕЖДЕНИЕ СОЦИАЛЬНОГО ОБСЛУЖИВАНИЯ "КОМПЛЕКСНЫЙ ЦЕНТР СОЦИАЛЬНОГО ОБСЛУЖИВАНИЯ НАСЕЛЕНИЯ "СВЕРДЛОВСКИЙ", КРАЕВОЕ ГОСУДАРСТВЕННОЕ КАЗЕННОЕ УЧРЕЖДЕНИЕ ЗДРАВООХРАНЕНИЯ "КРАСНОЯРСКИЙ КРАЕВОЙ МЕДИЦИНСКИЙ ЦЕНТР МОБИЛИЗАЦИОННЫХ РЕЗЕРВОВ "РЕЗЕРВ", КРАЕВОЕ ГОСУДАРСТВЕННОЕ БЮДЖЕТНОЕ УЧРЕЖДЕНИЕ ЗДРАВООХРАНЕНИЯ "КРАСНОЯРСКАЯ МЕЖРАЙОННАЯ ПОЛИКЛИНИКА № 1", КРАЕВОЕ ГОСУДАРСТВЕННОЕ БЮДЖЕТНОЕ УЧРЕЖДЕНИЕ ЗДРАВООХРАНЕНИЯ "БОЛЬНИЦА П. КЕДРОВЫЙ", УПРАВЛЕНИЕ ДЕЛАМИ ГУБЕРНАТОРА И ПРАВИТЕЛЬСТВА КРАСНОЯРСКОГО КРАЯ, КРАЕВОЕ ГОСУДАРСТВЕННОЕ БЮДЖЕТНОЕ ПРОФЕССИОНАЛЬНОЕ ОБРАЗОВАТЕЛЬНОЕ УЧРЕЖДЕНИЕ "КРАСНОЯРСКИЙ ТЕХНИКУМ ПРОМЫШЛЕННОГО СЕРВИСА", КРАЕВОЕ ГОСУДАРСТВЕННОЕ БЮДЖЕТНОЕ ПРОФЕССИОНАЛЬНОЕ ОБРАЗОВАТЕЛЬНОЕ УЧРЕЖДЕНИЕ "КРАСНОЯРСКИЙ ПЕДАГОГИЧЕСКИЙ КОЛЛЕДЖ № 2", КРАЕВОЕ ГОСУДАРСТВЕННОЕ БЮДЖЕТНОЕ ПРОФЕССИОНАЛЬНОЕ ОБРАЗОВАТЕЛЬНОЕ УЧРЕЖДЕНИЕ "КРАСНОЯРСКИЙ ИНДУСТРИАЛЬНО-МЕТАЛЛУРГИЧЕСКИЙ ТЕХНИКУМ", СЛУЖБА ПО ГОСУДАРСТВЕННОЙ ОХРАНЕ ОБЪЕКТОВ КУЛЬТУРНОГО НАСЛЕДИЯ КРАСНОЯРСКОГО КРАЯ, КРАЕВОЕ ГОСУДАРСТВЕННОЕ КАЗЕННОЕ УЧРЕЖДЕНИЕ ДЛЯ ДЕТЕЙ-СИРОТ И ДЕТЕЙ, ОСТАВШИХСЯ БЕЗ ПОПЕЧЕНИЯ РОДИТЕЛЕЙ "СОСНОВОБОРСКИЙ ДЕТСКИЙ ДОМ", КРАЕВОЕ ГОСУДАРСТВЕННОЕ БЮДЖЕТНОЕ УЧРЕЖДЕНИЕ СОЦИАЛЬНОГО ОБСЛУЖИВАНИЯ "ШИЛИНСКИЙ ПСИХОНЕВРОЛОГИЧЕСКИЙ ИНТЕРНАТ", КРАЕВОЕ ГОСУДАРСТВЕННОЕ БЮДЖЕТНОЕ ДОШКОЛЬНОЕ ОБРАЗОВАТЕЛЬНОЕ УЧРЕЖДЕНИЕ "БЕРЁЗОВСКИЙ ДЕТСКИЙ САД", КРАЕВОЕ ГОСУДАРСТВЕННОЕ КАЗЕННОЕ УЧРЕЖДЕНИЕ ЗДРАВООХРАНЕНИЯ "КРАСНОЯРСКИЙ КРАЕВОЙ ЦЕНТР КРОВИ № 1", КРАЕВОЕ ГОСУДАРСТВЕННОЕ КАЗЕННОЕ УЧРЕЖДЕНИЕ ДЛЯ ДЕТЕЙ-СИРОТ И ДЕТЕЙ, ОСТАВШИХСЯ БЕЗ ПОПЕЧЕНИЯ РОДИТЕЛЕЙ "ЕСАУЛОВСКИЙ ДЕТСКИЙ ДОМ", КРАЕВОЕ ГОСУДАРСТВЕННОЕ КАЗЕННОЕ УЧРЕЖДЕНИЕ ЗДРАВООХРАНЕНИЯ "КРАСНОЯРСКИЙ ТЕРРИТОРИАЛЬНЫЙ ЦЕНТР МЕДИЦИНЫ КАТАСТРОФ", СЛУЖБА СТРОИТЕЛЬНОГО НАДЗОРА И ЖИЛИЩНОГО КОНТРОЛЯ КРАСНОЯРСКОГО КРАЯ, КРАЕВОЕ ГОСУДАРСТВЕННОЕ БЮДЖЕТНОЕ УЧРЕЖДЕНИЕ ЗДРАВООХРАНЕНИЯ "КРАСНОЯРСКАЯ ГОРОДСКАЯ ПОЛИКЛИНИКА № 6", КРАЕВОЕ ГОСУДАРСТВЕННОЕ БЮДЖЕТНОЕ УЧРЕЖДЕНИЕ ЗДРАВООХРАНЕНИЯ "КРАСНОЯРСКИЙ КРАЕВОЙ ПСИХОНЕВРОЛОГИЧЕСКИЙ ДИСПАНСЕР № 1", КРАЕВОЕ ГОСУДАРСТВЕННОЕ КАЗЕННОЕ УЧРЕЖДЕНИЕ ДЛЯ ДЕТЕЙ-СИРОТ И ДЕТЕЙ, ОСТАВШИХСЯ БЕЗ ПОПЕЧЕНИЯ РОДИТЕЛЕЙ "КРАСНОЯРСКИЙ ДЕТСКИЙ ДОМ № 1", КРАЕВОЕ ГОСУДАРСТВЕННОЕ КАЗЕННОЕ УЧРЕЖДЕНИЕ "ЦЕНТР ОБЕСПЕЧЕНИЯ РЕАЛИЗАЦИИ ПОЛНОМОЧИЙ В ОБЛАСТЯХ ГРАЖДАНСКОЙ ОБОРОНЫ, ЧРЕЗВЫЧАЙНЫХ СИТУАЦИЙ КРАСНОЯРСКОГО КРАЯ", КРАЕВОЕ ГОСУДАРСТВЕННОЕ БЮДЖЕТНОЕ ПРОФЕССИОНАЛЬНОЕ ОБРАЗОВАТЕЛЬНОЕ УЧРЕЖДЕНИЕ "СОСНОВОБОРСКИЙ МЕХАНИКО-ТЕХНОЛОГИЧЕСКИЙ ТЕХНИКУМ", КРАЕВОЕ ГОСУДАРСТВЕННОЕ </w:t>
      </w:r>
      <w:r w:rsidR="00036041" w:rsidRPr="0065384E">
        <w:rPr>
          <w:rFonts w:ascii="Times New Roman" w:hAnsi="Times New Roman"/>
          <w:sz w:val="24"/>
          <w:szCs w:val="24"/>
          <w:lang w:val="en-US"/>
        </w:rPr>
        <w:lastRenderedPageBreak/>
        <w:t>КАЗЕННОЕ УЧРЕЖДЕНИЕ "ЦЕНТР ЗАНЯТОСТИ НАСЕЛЕНИЯ ЗАКРЫТОГО АДМИНИСТРАТИВНО-ТЕРРИТОРИАЛЬНОГО ОБРАЗОВАНИЯ ГОРОДА ЖЕЛЕЗНОГОРСКА", КРАЕВОЕ ГОСУДАРСТВЕННОЕ КАЗЕННОЕ УЧРЕЖДЕНИЕ "АППАРАТ ОБЩЕСТВЕННОЙ ПАЛАТЫ КРАСНОЯРСКОГО КРАЯ И ГРАЖДАНСКОЙ АССАМБЛЕИ КРАСНОЯРСКОГО КРАЯ", КРАЕВОЕ ГОСУДАРСТВЕННОЕ КАЗЕННОЕ УЧРЕЖДЕНИЕ ДЛЯ ДЕТЕЙ-СИРОТ И ДЕТЕЙ, ОСТАВШИХСЯ БЕЗ ПОПЕЧЕНИЯ РОДИТЕЛЕЙ "ЖЕЛЕЗНОГОРСКИЙ ДЕТСКИЙ ДОМ", КРАЕВОЕ ГОСУДАРСТВЕННОЕ БЮДЖЕТНОЕ УЧРЕЖДЕНИЕ ЗДРАВООХРАНЕНИЯ "СОСНОВОБОРСКАЯ ГОРОДСКАЯ БОЛЬНИЦА", КРАЕВОЕ ГОСУДАРСТВЕННОЕ БЮДЖЕТНОЕ УЧРЕЖДЕНИЕ СОЦИАЛЬНОГО ОБСЛУЖИВАНИЯ "ПСИХОНЕВРОЛОГИЧЕСКИЙ ИНТЕРНАТ ДЛЯ ДЕТЕЙ "СОЛНЫШКО", КРАЕВОЕ ГОСУДАРСТВЕННОЕ БЮДЖЕТНОЕ ПРОФЕССИОНАЛЬНОЕ ОБРАЗОВАТЕЛЬНОЕ УЧРЕЖДЕНИЕ "КРАСНОЯРСКИЙ ТЕХНОЛОГИЧЕСКИЙ ТЕХНИКУМ ПИЩЕВОЙ ПРОМЫШЛЕННОСТИ", КРАЕВОЕ ГОСУДАРСТВЕННОЕ БЮДЖЕТНОЕ УЧРЕЖДЕНИЕ ЗДРАВООХРАНЕНИЯ "КРАСНОЯРСКИЙ КРАЕВОЙ ПРОТИВОТУБЕРКУЛЕЗНЫЙ ДИСПАНСЕР № 1", КРАЕВОЕ ГОСУДАРСТВЕННОЕ БЮДЖЕТНОЕ УЧРЕЖДЕНИЕ ЗДРАВООХРАНЕНИЯ "КРАСНОЯРСКАЯ МЕЖРАЙОННАЯ БОЛЬНИЦА № 2", КРАЕВОЕ ГОСУДАРСТВЕННОЕ БЮДЖЕТНОЕ УЧРЕЖДЕНИЕ "РЕГИОНАЛЬНЫЙ ЦЕНТР СПОРТИВНОЙ ПОДГОТОВКИ ПО АДАПТИВНЫМ ВИДАМ СПОРТА", СЛУЖБА ПО НАДЗОРУ ЗА ТЕХНИЧЕСКИМ СОСТОЯНИЕМ САМОХОДНЫХ МАШИН И ДРУГИХ ВИДОВ ТЕХНИКИ КРАСНОЯРСКОГО КРАЯ, КРАЕВОЕ ГОСУДАРСТВЕННОЕ КАЗЕННОЕ ОБРАЗОВАТЕЛЬНОЕ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 КРАСНОЯРСКОГО КРАЯ", КРАЕВОЕ ГОСУДАРСТВЕННОЕ БЮДЖЕТНОЕ УЧРЕЖДЕНИЕ ЗДРАВООХРАНЕНИЯ "КРАСНОЯРСКИЙ КРАЕВОЙ ГОСПИТАЛЬ ДЛЯ ВЕТЕРАНОВ ВОЙН"</w:t>
      </w:r>
    </w:p>
    <w:p w:rsidR="00D9751F" w:rsidRPr="0065384E" w:rsidRDefault="00B02CC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Идентификационный код закупки</w:t>
      </w:r>
      <w:r w:rsidRPr="0065384E">
        <w:rPr>
          <w:rFonts w:ascii="Times New Roman" w:hAnsi="Times New Roman"/>
          <w:sz w:val="24"/>
          <w:szCs w:val="24"/>
        </w:rPr>
        <w:t xml:space="preserve">: </w:t>
      </w:r>
      <w:r w:rsidR="00036041" w:rsidRPr="0065384E">
        <w:rPr>
          <w:rFonts w:ascii="Times New Roman" w:hAnsi="Times New Roman"/>
          <w:sz w:val="24"/>
          <w:szCs w:val="24"/>
          <w:lang w:val="en-US"/>
        </w:rPr>
        <w:t>202245202122524520100100260020000244, 202246303280724630100100080020000000, 202246400842024640100101040020000000, 202246303404024630100100500020000000, 202245800692124580100100100020000244, 202246300420724630100101590020000000, 202246605632324660100100540020000244, 202246200096124620100100260020000000, 202240400079324040100100110020000244, 202246120784324610100100130020000000, 202246500532624650100100140020000000, 202245202395224520100100150020000244, 202240800147724080100100210020000000, 202246111446924610100100280020000000, 202246503118924650100100220020000000, 202243500214124350100100110020000000, 202246503510524650100100240020000244, 202246613347224660100100390020000244, 202240411020324040100100080020000000, 202246621776424600100100400020000244, 202246501277124650100100460020000000, 202246303472324630100100130020000244, 202245800411324580100100110020000000, 202246102421524610100100140020000000, 202246007172724660100100500020000244, 202246616146224660100100170020000244, 203246405078124640100100130020000000, 202246620126724600100100380020000244, 202246606274324600100100400030000244, 202245800479424580100100490020000000, 202240400317724040100100350020000000, 202246606252824630100100280020000000, 202246322019824630100101170020000000, 202240401424224040100100300020000000, 202241101099324110100101280020000000, 202246613629724600100102090020000244, 202246523227024650100101450020000000, 202246607390724660100102880021722244</w:t>
      </w:r>
      <w:r w:rsidR="00D9751F" w:rsidRPr="0065384E">
        <w:rPr>
          <w:rFonts w:ascii="Times New Roman" w:hAnsi="Times New Roman"/>
          <w:sz w:val="24"/>
          <w:szCs w:val="24"/>
        </w:rPr>
        <w:t xml:space="preserve"> </w:t>
      </w:r>
    </w:p>
    <w:p w:rsidR="00D9751F" w:rsidRPr="0065384E" w:rsidRDefault="00036041"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Организатор закупки</w:t>
      </w:r>
      <w:r w:rsidR="00445364" w:rsidRPr="0065384E">
        <w:rPr>
          <w:rFonts w:ascii="Times New Roman" w:hAnsi="Times New Roman"/>
          <w:b/>
          <w:sz w:val="24"/>
          <w:szCs w:val="24"/>
        </w:rPr>
        <w:t>:</w:t>
      </w:r>
      <w:r w:rsidR="00445364" w:rsidRPr="0065384E">
        <w:rPr>
          <w:rFonts w:ascii="Times New Roman" w:hAnsi="Times New Roman"/>
          <w:sz w:val="24"/>
          <w:szCs w:val="24"/>
        </w:rPr>
        <w:t xml:space="preserve"> </w:t>
      </w:r>
      <w:r w:rsidRPr="0065384E">
        <w:rPr>
          <w:rFonts w:ascii="Times New Roman" w:hAnsi="Times New Roman"/>
          <w:sz w:val="24"/>
          <w:szCs w:val="24"/>
          <w:lang w:val="en-US"/>
        </w:rPr>
        <w:t>АГЕНТСТВО ГОСУДАРСТВЕННОГО ЗАКАЗА КРАСНОЯРСКОГО КРАЯ</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bCs/>
          <w:sz w:val="24"/>
          <w:szCs w:val="24"/>
        </w:rPr>
        <w:t>1. Наименование объекта закупки:</w:t>
      </w:r>
      <w:r w:rsidRPr="0065384E">
        <w:rPr>
          <w:rFonts w:ascii="Times New Roman" w:hAnsi="Times New Roman"/>
          <w:sz w:val="24"/>
          <w:szCs w:val="24"/>
        </w:rPr>
        <w:t xml:space="preserve"> </w:t>
      </w:r>
      <w:r w:rsidR="00104F5B" w:rsidRPr="0065384E">
        <w:rPr>
          <w:rFonts w:ascii="Times New Roman" w:hAnsi="Times New Roman"/>
          <w:sz w:val="24"/>
          <w:szCs w:val="24"/>
          <w:lang w:val="en-US"/>
        </w:rPr>
        <w:t>№ ЭА 77057/20 "Поставка средств личной гигиены для учреждений на 2020-2021 гг, расположенных на территории г.Красноярск и прилегающих территориях"</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bCs/>
          <w:sz w:val="24"/>
          <w:szCs w:val="24"/>
        </w:rPr>
        <w:t>2. Начальная (максимальная) цена контракта:</w:t>
      </w:r>
      <w:r w:rsidRPr="0065384E">
        <w:rPr>
          <w:rFonts w:ascii="Times New Roman" w:hAnsi="Times New Roman"/>
          <w:sz w:val="24"/>
          <w:szCs w:val="24"/>
        </w:rPr>
        <w:t xml:space="preserve"> </w:t>
      </w:r>
      <w:r w:rsidR="00883ED2" w:rsidRPr="0065384E">
        <w:rPr>
          <w:rFonts w:ascii="Times New Roman" w:hAnsi="Times New Roman"/>
          <w:sz w:val="24"/>
          <w:szCs w:val="24"/>
          <w:lang w:val="en-US"/>
        </w:rPr>
        <w:t>2722379.72</w:t>
      </w:r>
      <w:r w:rsidR="00885B08" w:rsidRPr="0065384E">
        <w:rPr>
          <w:rFonts w:ascii="Times New Roman" w:hAnsi="Times New Roman"/>
          <w:sz w:val="24"/>
          <w:szCs w:val="24"/>
        </w:rPr>
        <w:t xml:space="preserve">, </w:t>
      </w:r>
      <w:r w:rsidR="00883ED2" w:rsidRPr="0065384E">
        <w:rPr>
          <w:rFonts w:ascii="Times New Roman" w:hAnsi="Times New Roman"/>
          <w:sz w:val="24"/>
          <w:szCs w:val="24"/>
          <w:lang w:val="en-US"/>
        </w:rPr>
        <w:t>Российский рубль</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3. </w:t>
      </w:r>
      <w:r w:rsidR="00C87B49" w:rsidRPr="0065384E">
        <w:rPr>
          <w:rFonts w:ascii="Times New Roman" w:hAnsi="Times New Roman"/>
          <w:sz w:val="24"/>
          <w:szCs w:val="24"/>
        </w:rPr>
        <w:t xml:space="preserve">Извещение о проведении настоящего аукциона в электронной форме было размещено </w:t>
      </w:r>
      <w:r w:rsidR="00036041" w:rsidRPr="0065384E">
        <w:rPr>
          <w:rFonts w:ascii="Times New Roman" w:hAnsi="Times New Roman"/>
          <w:sz w:val="24"/>
          <w:szCs w:val="24"/>
          <w:lang w:val="en-US"/>
        </w:rPr>
        <w:lastRenderedPageBreak/>
        <w:t>31.03.2020</w:t>
      </w:r>
      <w:r w:rsidR="00C87B49" w:rsidRPr="0065384E">
        <w:rPr>
          <w:rFonts w:ascii="Times New Roman" w:hAnsi="Times New Roman"/>
          <w:sz w:val="24"/>
          <w:szCs w:val="24"/>
        </w:rPr>
        <w:t xml:space="preserve"> года на сайте Единой информационной системы в сфере закупок (ЕИС) по адресу в сети «Интернет»: http://zakupki.gov.ru и на сайте ЭТП ГПБ по адресу в сети «Интернет»: http://etpgpb.ru/</w:t>
      </w:r>
      <w:r w:rsidRPr="0065384E">
        <w:rPr>
          <w:rFonts w:ascii="Times New Roman" w:hAnsi="Times New Roman"/>
          <w:sz w:val="24"/>
          <w:szCs w:val="24"/>
        </w:rPr>
        <w:t>.</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4. </w:t>
      </w:r>
      <w:r w:rsidR="00C87B49" w:rsidRPr="0065384E">
        <w:rPr>
          <w:rFonts w:ascii="Times New Roman" w:hAnsi="Times New Roman"/>
          <w:sz w:val="24"/>
          <w:szCs w:val="24"/>
        </w:rPr>
        <w:t xml:space="preserve">Процедура рассмотрения заявок на участие в аукционе в электронной форме проводилась аукционной комиссией </w:t>
      </w:r>
      <w:r w:rsidR="00C91FA0" w:rsidRPr="0065384E">
        <w:rPr>
          <w:rFonts w:ascii="Times New Roman" w:hAnsi="Times New Roman"/>
          <w:sz w:val="24"/>
          <w:szCs w:val="24"/>
          <w:lang w:val="en-US"/>
        </w:rPr>
        <w:t>23.04.2020 в 06 час. 33 мин.</w:t>
      </w:r>
      <w:r w:rsidR="00C87B49" w:rsidRPr="0065384E">
        <w:rPr>
          <w:rFonts w:ascii="Times New Roman" w:hAnsi="Times New Roman"/>
          <w:sz w:val="24"/>
          <w:szCs w:val="24"/>
        </w:rPr>
        <w:t xml:space="preserve"> по адресу: </w:t>
      </w:r>
      <w:r w:rsidR="00C91FA0" w:rsidRPr="0065384E">
        <w:rPr>
          <w:rFonts w:ascii="Times New Roman" w:hAnsi="Times New Roman"/>
          <w:sz w:val="24"/>
          <w:szCs w:val="24"/>
          <w:lang w:val="en-US"/>
        </w:rPr>
        <w:t>Российская Федерация, 660021, Красноярск,</w:t>
      </w:r>
      <w:r w:rsidR="00C91FA0" w:rsidRPr="0065384E">
        <w:rPr>
          <w:rFonts w:ascii="Times New Roman" w:hAnsi="Times New Roman"/>
          <w:sz w:val="24"/>
          <w:szCs w:val="24"/>
        </w:rPr>
        <w:t>.</w:t>
      </w:r>
    </w:p>
    <w:p w:rsidR="00C87B49" w:rsidRPr="0065384E" w:rsidRDefault="00445364"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5. </w:t>
      </w:r>
      <w:r w:rsidR="00D9751F" w:rsidRPr="0065384E">
        <w:rPr>
          <w:rFonts w:ascii="Times New Roman" w:hAnsi="Times New Roman"/>
          <w:sz w:val="24"/>
          <w:szCs w:val="24"/>
        </w:rPr>
        <w:t xml:space="preserve">На заседании </w:t>
      </w:r>
      <w:r w:rsidR="00EB28E6" w:rsidRPr="0065384E">
        <w:rPr>
          <w:rFonts w:ascii="Times New Roman" w:hAnsi="Times New Roman"/>
          <w:sz w:val="24"/>
          <w:szCs w:val="24"/>
        </w:rPr>
        <w:t>аукционной</w:t>
      </w:r>
      <w:r w:rsidRPr="0065384E">
        <w:rPr>
          <w:rFonts w:ascii="Times New Roman" w:hAnsi="Times New Roman"/>
          <w:sz w:val="24"/>
          <w:szCs w:val="24"/>
        </w:rPr>
        <w:t xml:space="preserve"> комиссии</w:t>
      </w:r>
      <w:r w:rsidR="00D9751F" w:rsidRPr="0065384E">
        <w:rPr>
          <w:rFonts w:ascii="Times New Roman" w:hAnsi="Times New Roman"/>
          <w:sz w:val="24"/>
          <w:szCs w:val="24"/>
        </w:rPr>
        <w:t xml:space="preserve"> при рассмотрении заявок на участие в </w:t>
      </w:r>
      <w:r w:rsidR="00EB28E6" w:rsidRPr="0065384E">
        <w:rPr>
          <w:rFonts w:ascii="Times New Roman" w:hAnsi="Times New Roman"/>
          <w:sz w:val="24"/>
          <w:szCs w:val="24"/>
        </w:rPr>
        <w:t>аукционе</w:t>
      </w:r>
      <w:r w:rsidR="00D9751F" w:rsidRPr="0065384E">
        <w:rPr>
          <w:rFonts w:ascii="Times New Roman" w:hAnsi="Times New Roman"/>
          <w:sz w:val="24"/>
          <w:szCs w:val="24"/>
        </w:rPr>
        <w:t xml:space="preserve"> в элек</w:t>
      </w:r>
      <w:r w:rsidRPr="0065384E">
        <w:rPr>
          <w:rFonts w:ascii="Times New Roman" w:hAnsi="Times New Roman"/>
          <w:sz w:val="24"/>
          <w:szCs w:val="24"/>
        </w:rPr>
        <w:t xml:space="preserve">тронной форме присутствовали: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394"/>
        <w:gridCol w:w="3737"/>
      </w:tblGrid>
      <w:tr w:rsidR="0065384E" w:rsidRPr="0065384E" w:rsidTr="00E10C52">
        <w:tc>
          <w:tcPr>
            <w:tcW w:w="2122"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Роль</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ФИО</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1</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Председатель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Преловская Татьяна Владимировна</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2</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Зам. председателя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Штеле Анастасия Павловна</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3</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Член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Назаренко Ольга Андреевна</w:t>
            </w:r>
          </w:p>
        </w:tc>
      </w:tr>
    </w:tbl>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6. </w:t>
      </w:r>
      <w:r w:rsidR="00C87B49" w:rsidRPr="0065384E">
        <w:rPr>
          <w:rFonts w:ascii="Times New Roman" w:hAnsi="Times New Roman"/>
          <w:sz w:val="24"/>
          <w:szCs w:val="24"/>
        </w:rPr>
        <w:t xml:space="preserve">По окончании срока подачи заявок </w:t>
      </w:r>
      <w:r w:rsidR="00731624" w:rsidRPr="0065384E">
        <w:rPr>
          <w:rFonts w:ascii="Times New Roman" w:hAnsi="Times New Roman"/>
          <w:sz w:val="24"/>
          <w:szCs w:val="24"/>
        </w:rPr>
        <w:t>22.04.2020 04:00</w:t>
      </w:r>
      <w:r w:rsidR="00C87B49" w:rsidRPr="0065384E">
        <w:rPr>
          <w:rFonts w:ascii="Times New Roman" w:hAnsi="Times New Roman"/>
          <w:sz w:val="24"/>
          <w:szCs w:val="24"/>
        </w:rPr>
        <w:t xml:space="preserve"> был</w:t>
      </w:r>
      <w:r w:rsidR="005442C0" w:rsidRPr="0065384E">
        <w:rPr>
          <w:rFonts w:ascii="Times New Roman" w:hAnsi="Times New Roman"/>
          <w:sz w:val="24"/>
          <w:szCs w:val="24"/>
        </w:rPr>
        <w:t>о</w:t>
      </w:r>
      <w:r w:rsidR="00C87B49" w:rsidRPr="0065384E">
        <w:rPr>
          <w:rFonts w:ascii="Times New Roman" w:hAnsi="Times New Roman"/>
          <w:sz w:val="24"/>
          <w:szCs w:val="24"/>
        </w:rPr>
        <w:t xml:space="preserve"> подан</w:t>
      </w:r>
      <w:r w:rsidR="005442C0" w:rsidRPr="0065384E">
        <w:rPr>
          <w:rFonts w:ascii="Times New Roman" w:hAnsi="Times New Roman"/>
          <w:sz w:val="24"/>
          <w:szCs w:val="24"/>
        </w:rPr>
        <w:t>о</w:t>
      </w:r>
      <w:r w:rsidR="00C87B49" w:rsidRPr="0065384E">
        <w:rPr>
          <w:rFonts w:ascii="Times New Roman" w:hAnsi="Times New Roman"/>
          <w:sz w:val="24"/>
          <w:szCs w:val="24"/>
        </w:rPr>
        <w:t xml:space="preserve"> </w:t>
      </w:r>
      <w:r w:rsidR="00731624" w:rsidRPr="0065384E">
        <w:rPr>
          <w:rFonts w:ascii="Times New Roman" w:hAnsi="Times New Roman"/>
          <w:sz w:val="24"/>
          <w:szCs w:val="24"/>
        </w:rPr>
        <w:t>4</w:t>
      </w:r>
      <w:r w:rsidR="00C87B49" w:rsidRPr="0065384E">
        <w:rPr>
          <w:rFonts w:ascii="Times New Roman" w:hAnsi="Times New Roman"/>
          <w:sz w:val="24"/>
          <w:szCs w:val="24"/>
        </w:rPr>
        <w:t xml:space="preserve"> </w:t>
      </w:r>
      <w:r w:rsidR="005442C0" w:rsidRPr="0065384E">
        <w:rPr>
          <w:rFonts w:ascii="Times New Roman" w:hAnsi="Times New Roman"/>
          <w:sz w:val="24"/>
          <w:szCs w:val="24"/>
        </w:rPr>
        <w:t>заявок/заявки</w:t>
      </w:r>
      <w:r w:rsidR="00C87B49" w:rsidRPr="0065384E">
        <w:rPr>
          <w:rFonts w:ascii="Times New Roman" w:hAnsi="Times New Roman"/>
          <w:sz w:val="24"/>
          <w:szCs w:val="24"/>
        </w:rPr>
        <w:t xml:space="preserve"> с идентификационным</w:t>
      </w:r>
      <w:r w:rsidR="005442C0" w:rsidRPr="0065384E">
        <w:rPr>
          <w:rFonts w:ascii="Times New Roman" w:hAnsi="Times New Roman"/>
          <w:sz w:val="24"/>
          <w:szCs w:val="24"/>
        </w:rPr>
        <w:t>и</w:t>
      </w:r>
      <w:r w:rsidR="00C87B49" w:rsidRPr="0065384E">
        <w:rPr>
          <w:rFonts w:ascii="Times New Roman" w:hAnsi="Times New Roman"/>
          <w:sz w:val="24"/>
          <w:szCs w:val="24"/>
        </w:rPr>
        <w:t xml:space="preserve"> номер</w:t>
      </w:r>
      <w:r w:rsidR="005442C0" w:rsidRPr="0065384E">
        <w:rPr>
          <w:rFonts w:ascii="Times New Roman" w:hAnsi="Times New Roman"/>
          <w:sz w:val="24"/>
          <w:szCs w:val="24"/>
        </w:rPr>
        <w:t>а</w:t>
      </w:r>
      <w:r w:rsidR="00C87B49" w:rsidRPr="0065384E">
        <w:rPr>
          <w:rFonts w:ascii="Times New Roman" w:hAnsi="Times New Roman"/>
          <w:sz w:val="24"/>
          <w:szCs w:val="24"/>
        </w:rPr>
        <w:t>м</w:t>
      </w:r>
      <w:r w:rsidR="005442C0" w:rsidRPr="0065384E">
        <w:rPr>
          <w:rFonts w:ascii="Times New Roman" w:hAnsi="Times New Roman"/>
          <w:sz w:val="24"/>
          <w:szCs w:val="24"/>
        </w:rPr>
        <w:t>и</w:t>
      </w:r>
      <w:r w:rsidR="00C87B49" w:rsidRPr="0065384E">
        <w:rPr>
          <w:rFonts w:ascii="Times New Roman" w:hAnsi="Times New Roman"/>
          <w:sz w:val="24"/>
          <w:szCs w:val="24"/>
        </w:rPr>
        <w:t xml:space="preserve">: </w:t>
      </w:r>
      <w:r w:rsidR="00731624" w:rsidRPr="0065384E">
        <w:rPr>
          <w:rFonts w:ascii="Times New Roman" w:hAnsi="Times New Roman"/>
          <w:sz w:val="24"/>
          <w:szCs w:val="24"/>
          <w:lang w:val="en-US"/>
        </w:rPr>
        <w:t>69753, 70135, 72617, 72957</w:t>
      </w:r>
      <w:r w:rsidR="00731624" w:rsidRPr="0065384E">
        <w:rPr>
          <w:rFonts w:ascii="Times New Roman" w:hAnsi="Times New Roman"/>
          <w:sz w:val="24"/>
          <w:szCs w:val="24"/>
        </w:rPr>
        <w:t>.</w:t>
      </w:r>
      <w:r w:rsidRPr="0065384E">
        <w:rPr>
          <w:rFonts w:ascii="Times New Roman" w:hAnsi="Times New Roman"/>
          <w:sz w:val="24"/>
          <w:szCs w:val="24"/>
        </w:rPr>
        <w:t xml:space="preserve"> </w:t>
      </w:r>
    </w:p>
    <w:p w:rsidR="00E7772B"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7. </w:t>
      </w:r>
      <w:r w:rsidR="005442C0" w:rsidRPr="0065384E">
        <w:rPr>
          <w:rFonts w:ascii="Times New Roman" w:hAnsi="Times New Roman"/>
          <w:sz w:val="24"/>
          <w:szCs w:val="24"/>
        </w:rPr>
        <w:t>Рассмотрев первые части заявок на участие в электронном аукционе в соответствии с требованиями и условиями, установленными в документации об аукционе,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(подрядчика, исполнителя):</w:t>
      </w:r>
    </w:p>
    <w:tbl>
      <w:tblPr>
        <w:tblW w:w="0" w:type="auto"/>
        <w:tblCellMar>
          <w:top w:w="15" w:type="dxa"/>
          <w:left w:w="15" w:type="dxa"/>
          <w:bottom w:w="15" w:type="dxa"/>
          <w:right w:w="15" w:type="dxa"/>
        </w:tblCellMar>
        <w:tblLook w:val="04A0" w:firstRow="1" w:lastRow="0" w:firstColumn="1" w:lastColumn="0" w:noHBand="0" w:noVBand="1"/>
      </w:tblPr>
      <w:tblGrid>
        <w:gridCol w:w="659"/>
        <w:gridCol w:w="2752"/>
        <w:gridCol w:w="1802"/>
        <w:gridCol w:w="1333"/>
        <w:gridCol w:w="3701"/>
      </w:tblGrid>
      <w:tr w:rsidR="0065384E" w:rsidRPr="0065384E" w:rsidTr="00E7772B">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r w:rsidRPr="0065384E">
              <w:rPr>
                <w:rFonts w:ascii="Times New Roman" w:hAnsi="Times New Roman"/>
                <w:b/>
                <w:bCs/>
                <w:sz w:val="24"/>
                <w:szCs w:val="24"/>
                <w:lang w:val="en-US" w:eastAsia="en-US"/>
              </w:rPr>
              <w:t>№ п/п</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Идентификационный</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номер</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заявки</w:t>
            </w:r>
            <w:proofErr w:type="spellEnd"/>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E7772B" w:rsidRPr="0065384E" w:rsidRDefault="00E7772B" w:rsidP="00667F0F">
            <w:pPr>
              <w:spacing w:after="0" w:line="240" w:lineRule="auto"/>
              <w:jc w:val="center"/>
              <w:rPr>
                <w:rFonts w:ascii="Times New Roman" w:hAnsi="Times New Roman"/>
                <w:sz w:val="24"/>
                <w:szCs w:val="24"/>
                <w:lang w:eastAsia="en-US"/>
              </w:rPr>
            </w:pPr>
            <w:r w:rsidRPr="0065384E">
              <w:rPr>
                <w:rFonts w:ascii="Times New Roman" w:hAnsi="Times New Roman"/>
                <w:b/>
                <w:bCs/>
                <w:sz w:val="24"/>
                <w:szCs w:val="24"/>
                <w:lang w:eastAsia="en-US"/>
              </w:rPr>
              <w:t>Дата и время регистрации заявки</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Решение</w:t>
            </w:r>
            <w:proofErr w:type="spellEnd"/>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E7772B" w:rsidRPr="0065384E" w:rsidRDefault="00E7772B" w:rsidP="00667F0F">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Обоснование</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решения</w:t>
            </w:r>
            <w:proofErr w:type="spellEnd"/>
          </w:p>
        </w:tc>
      </w:tr>
      <w:tr w:rsidR="0065384E" w:rsidRPr="0065384E" w:rsidTr="00E7772B">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69753</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11.04.2020 9:22:24</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9733A" w:rsidRPr="0065384E" w:rsidRDefault="0089733A" w:rsidP="00BF1C7C">
            <w:pPr>
              <w:spacing w:after="0" w:line="240" w:lineRule="auto"/>
              <w:rPr>
                <w:rFonts w:ascii="Times New Roman" w:hAnsi="Times New Roman"/>
                <w:sz w:val="24"/>
                <w:szCs w:val="24"/>
                <w:lang w:eastAsia="en-US"/>
              </w:rPr>
            </w:pPr>
          </w:p>
          <w:p w:rsidR="00BF1C7C" w:rsidRPr="0065384E" w:rsidRDefault="00BF1C7C" w:rsidP="00BF1C7C">
            <w:pPr>
              <w:spacing w:after="0" w:line="240" w:lineRule="auto"/>
              <w:rPr>
                <w:rFonts w:ascii="Times New Roman" w:hAnsi="Times New Roman"/>
                <w:sz w:val="24"/>
                <w:szCs w:val="24"/>
                <w:lang w:val="en-US" w:eastAsia="en-US"/>
              </w:rPr>
            </w:pPr>
          </w:p>
        </w:tc>
      </w:tr>
      <w:tr w:rsidR="0065384E" w:rsidRPr="0065384E" w:rsidTr="00E7772B">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2</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70135</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13.04.2020 15:45:21</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9733A" w:rsidRPr="0065384E" w:rsidRDefault="0089733A" w:rsidP="00BF1C7C">
            <w:pPr>
              <w:spacing w:after="0" w:line="240" w:lineRule="auto"/>
              <w:rPr>
                <w:rFonts w:ascii="Times New Roman" w:hAnsi="Times New Roman"/>
                <w:sz w:val="24"/>
                <w:szCs w:val="24"/>
                <w:lang w:eastAsia="en-US"/>
              </w:rPr>
            </w:pPr>
          </w:p>
          <w:p w:rsidR="00BF1C7C" w:rsidRPr="0065384E" w:rsidRDefault="00BF1C7C" w:rsidP="00BF1C7C">
            <w:pPr>
              <w:spacing w:after="0" w:line="240" w:lineRule="auto"/>
              <w:rPr>
                <w:rFonts w:ascii="Times New Roman" w:hAnsi="Times New Roman"/>
                <w:sz w:val="24"/>
                <w:szCs w:val="24"/>
                <w:lang w:val="en-US" w:eastAsia="en-US"/>
              </w:rPr>
            </w:pPr>
          </w:p>
        </w:tc>
      </w:tr>
      <w:tr w:rsidR="0065384E" w:rsidRPr="0065384E" w:rsidTr="00E7772B">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3</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72617</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21.04.2020 9:52:25</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не допущена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9733A" w:rsidRPr="0065384E" w:rsidRDefault="006D01B4" w:rsidP="00BF1C7C">
            <w:pPr>
              <w:spacing w:after="0" w:line="240" w:lineRule="auto"/>
              <w:rPr>
                <w:rFonts w:ascii="Times New Roman" w:hAnsi="Times New Roman"/>
                <w:sz w:val="24"/>
                <w:szCs w:val="24"/>
                <w:lang w:eastAsia="en-US"/>
              </w:rPr>
            </w:pPr>
            <w:r>
              <w:rPr>
                <w:rFonts w:ascii="Times New Roman" w:hAnsi="Times New Roman"/>
                <w:sz w:val="24"/>
                <w:szCs w:val="24"/>
              </w:rPr>
              <w:t xml:space="preserve"> - несоответствие информации, предусмотренной частью 3 статьи 66 Федерального закона №44-ФЗ, требованиям документации о таком аукционе</w:t>
            </w:r>
          </w:p>
          <w:p w:rsidR="00772A66" w:rsidRDefault="006D01B4">
            <w:r>
              <w:rPr>
                <w:rFonts w:ascii="Times New Roman" w:hAnsi="Times New Roman"/>
                <w:sz w:val="24"/>
                <w:szCs w:val="24"/>
              </w:rPr>
              <w:t xml:space="preserve"> - Содержание первой части заявки участника не соответствует требованиям, установленным документацией об аукционе. Согласно информационной карты, первая часть заявки должна содержать: 1) согласие участника электронного аукциона на поставку товара, выполнен</w:t>
            </w:r>
            <w:r>
              <w:rPr>
                <w:rFonts w:ascii="Times New Roman" w:hAnsi="Times New Roman"/>
                <w:sz w:val="24"/>
                <w:szCs w:val="24"/>
              </w:rPr>
              <w:t xml:space="preserve">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w:t>
            </w:r>
            <w:r>
              <w:rPr>
                <w:rFonts w:ascii="Times New Roman" w:hAnsi="Times New Roman"/>
                <w:sz w:val="24"/>
                <w:szCs w:val="24"/>
              </w:rPr>
              <w:lastRenderedPageBreak/>
              <w:t>аукциона (такое согласие дается с применением программно-аппаратных средств электронной площад</w:t>
            </w:r>
            <w:r>
              <w:rPr>
                <w:rFonts w:ascii="Times New Roman" w:hAnsi="Times New Roman"/>
                <w:sz w:val="24"/>
                <w:szCs w:val="24"/>
              </w:rPr>
              <w:t>ки); 2) 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б) конкретные показатели товара, соответствующие значениям, установленным</w:t>
            </w:r>
            <w:r>
              <w:rPr>
                <w:rFonts w:ascii="Times New Roman" w:hAnsi="Times New Roman"/>
                <w:sz w:val="24"/>
                <w:szCs w:val="24"/>
              </w:rPr>
              <w:t xml:space="preserve">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w:t>
            </w:r>
            <w:r>
              <w:rPr>
                <w:rFonts w:ascii="Times New Roman" w:hAnsi="Times New Roman"/>
                <w:sz w:val="24"/>
                <w:szCs w:val="24"/>
              </w:rPr>
              <w:t>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Участником не конкретизирован тип бумаги туалетной в позиции 7 «Бумага</w:t>
            </w:r>
            <w:r>
              <w:rPr>
                <w:rFonts w:ascii="Times New Roman" w:hAnsi="Times New Roman"/>
                <w:sz w:val="24"/>
                <w:szCs w:val="24"/>
              </w:rPr>
              <w:t xml:space="preserve"> туалетная», что противоречит инструкции. Комиссия, руководствуясь п.2 ч.4 ст.67 Федерального закона от 05.04.2013 № 44-ФЗ «О контрактной системе в сфере закупок товаров, работ, услуг для обеспечения государственных и муниципальных нужд» приняла решение об</w:t>
            </w:r>
            <w:r>
              <w:rPr>
                <w:rFonts w:ascii="Times New Roman" w:hAnsi="Times New Roman"/>
                <w:sz w:val="24"/>
                <w:szCs w:val="24"/>
              </w:rPr>
              <w:t xml:space="preserve"> отказе в допуске к участию в электронном аукционе участнику закупки.</w:t>
            </w:r>
          </w:p>
          <w:p w:rsidR="00BF1C7C" w:rsidRPr="0065384E" w:rsidRDefault="00BF1C7C" w:rsidP="00BF1C7C">
            <w:pPr>
              <w:spacing w:after="0" w:line="240" w:lineRule="auto"/>
              <w:rPr>
                <w:rFonts w:ascii="Times New Roman" w:hAnsi="Times New Roman"/>
                <w:sz w:val="24"/>
                <w:szCs w:val="24"/>
                <w:lang w:val="en-US" w:eastAsia="en-US"/>
              </w:rPr>
            </w:pPr>
          </w:p>
        </w:tc>
      </w:tr>
      <w:tr w:rsidR="0065384E" w:rsidRPr="0065384E" w:rsidTr="00E7772B">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lastRenderedPageBreak/>
              <w:t>4</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72957</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21.04.2020 16:45:59</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9733A" w:rsidRPr="0065384E" w:rsidRDefault="0089733A" w:rsidP="00BF1C7C">
            <w:pPr>
              <w:spacing w:after="0" w:line="240" w:lineRule="auto"/>
              <w:rPr>
                <w:rFonts w:ascii="Times New Roman" w:hAnsi="Times New Roman"/>
                <w:sz w:val="24"/>
                <w:szCs w:val="24"/>
                <w:lang w:eastAsia="en-US"/>
              </w:rPr>
            </w:pPr>
          </w:p>
          <w:p w:rsidR="00BF1C7C" w:rsidRPr="0065384E" w:rsidRDefault="00BF1C7C" w:rsidP="00BF1C7C">
            <w:pPr>
              <w:spacing w:after="0" w:line="240" w:lineRule="auto"/>
              <w:rPr>
                <w:rFonts w:ascii="Times New Roman" w:hAnsi="Times New Roman"/>
                <w:sz w:val="24"/>
                <w:szCs w:val="24"/>
                <w:lang w:val="en-US" w:eastAsia="en-US"/>
              </w:rPr>
            </w:pPr>
          </w:p>
        </w:tc>
      </w:tr>
    </w:tbl>
    <w:p w:rsidR="0089733A" w:rsidRPr="0065384E" w:rsidRDefault="00C87B4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Сведения о решении каждого члена аукционной комиссии:</w:t>
      </w:r>
      <w:r w:rsidR="00D9751F" w:rsidRPr="0065384E">
        <w:rPr>
          <w:rFonts w:ascii="Times New Roman" w:hAnsi="Times New Roman"/>
          <w:sz w:val="24"/>
          <w:szCs w:val="24"/>
        </w:rPr>
        <w:t xml:space="preserve"> </w:t>
      </w:r>
    </w:p>
    <w:tbl>
      <w:tblPr>
        <w:tblW w:w="5000" w:type="pct"/>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firstRow="1" w:lastRow="0" w:firstColumn="1" w:lastColumn="0" w:noHBand="0" w:noVBand="1"/>
      </w:tblPr>
      <w:tblGrid>
        <w:gridCol w:w="3703"/>
        <w:gridCol w:w="2624"/>
        <w:gridCol w:w="1956"/>
        <w:gridCol w:w="1980"/>
      </w:tblGrid>
      <w:tr w:rsidR="00772A66">
        <w:tc>
          <w:tcPr>
            <w:tcW w:w="200" w:type="dxa"/>
          </w:tcPr>
          <w:p w:rsidR="0089733A" w:rsidRPr="0065384E" w:rsidRDefault="006D01B4" w:rsidP="00885B08">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b/>
                <w:bCs/>
                <w:sz w:val="24"/>
                <w:szCs w:val="24"/>
              </w:rPr>
              <w:t>Идентификационный номер заявки</w:t>
            </w:r>
          </w:p>
        </w:tc>
        <w:tc>
          <w:tcPr>
            <w:tcW w:w="200" w:type="dxa"/>
          </w:tcPr>
          <w:p w:rsidR="00772A66" w:rsidRDefault="006D01B4">
            <w:pPr>
              <w:jc w:val="center"/>
            </w:pPr>
            <w:r>
              <w:rPr>
                <w:rFonts w:ascii="Times New Roman" w:hAnsi="Times New Roman"/>
                <w:b/>
                <w:bCs/>
                <w:sz w:val="24"/>
                <w:szCs w:val="24"/>
              </w:rPr>
              <w:t>Преловская Татьяна Владимировна</w:t>
            </w:r>
          </w:p>
        </w:tc>
        <w:tc>
          <w:tcPr>
            <w:tcW w:w="200" w:type="dxa"/>
          </w:tcPr>
          <w:p w:rsidR="00772A66" w:rsidRDefault="006D01B4">
            <w:pPr>
              <w:jc w:val="center"/>
            </w:pPr>
            <w:r>
              <w:rPr>
                <w:rFonts w:ascii="Times New Roman" w:hAnsi="Times New Roman"/>
                <w:b/>
                <w:bCs/>
                <w:sz w:val="24"/>
                <w:szCs w:val="24"/>
              </w:rPr>
              <w:t>Штеле Анастасия Павловна</w:t>
            </w:r>
          </w:p>
        </w:tc>
        <w:tc>
          <w:tcPr>
            <w:tcW w:w="200" w:type="dxa"/>
          </w:tcPr>
          <w:p w:rsidR="00772A66" w:rsidRDefault="006D01B4">
            <w:pPr>
              <w:jc w:val="center"/>
            </w:pPr>
            <w:r>
              <w:rPr>
                <w:rFonts w:ascii="Times New Roman" w:hAnsi="Times New Roman"/>
                <w:b/>
                <w:bCs/>
                <w:sz w:val="24"/>
                <w:szCs w:val="24"/>
              </w:rPr>
              <w:t>Назаренко Ольга Андреевна</w:t>
            </w:r>
          </w:p>
        </w:tc>
      </w:tr>
      <w:tr w:rsidR="00772A66">
        <w:tc>
          <w:tcPr>
            <w:tcW w:w="200" w:type="dxa"/>
          </w:tcPr>
          <w:p w:rsidR="00772A66" w:rsidRDefault="006D01B4">
            <w:pPr>
              <w:jc w:val="center"/>
            </w:pPr>
            <w:r>
              <w:rPr>
                <w:rFonts w:ascii="Times New Roman" w:hAnsi="Times New Roman"/>
                <w:sz w:val="24"/>
                <w:szCs w:val="24"/>
              </w:rPr>
              <w:t>69753</w:t>
            </w:r>
          </w:p>
        </w:tc>
        <w:tc>
          <w:tcPr>
            <w:tcW w:w="200" w:type="dxa"/>
          </w:tcPr>
          <w:p w:rsidR="00772A66" w:rsidRDefault="006D01B4">
            <w:pPr>
              <w:jc w:val="center"/>
            </w:pPr>
            <w:r>
              <w:rPr>
                <w:rFonts w:ascii="Times New Roman" w:hAnsi="Times New Roman"/>
                <w:sz w:val="24"/>
                <w:szCs w:val="24"/>
              </w:rPr>
              <w:t>допущена</w:t>
            </w:r>
          </w:p>
        </w:tc>
        <w:tc>
          <w:tcPr>
            <w:tcW w:w="200" w:type="dxa"/>
          </w:tcPr>
          <w:p w:rsidR="00772A66" w:rsidRDefault="006D01B4">
            <w:pPr>
              <w:jc w:val="center"/>
            </w:pPr>
            <w:r>
              <w:rPr>
                <w:rFonts w:ascii="Times New Roman" w:hAnsi="Times New Roman"/>
                <w:sz w:val="24"/>
                <w:szCs w:val="24"/>
              </w:rPr>
              <w:t>допущена</w:t>
            </w:r>
          </w:p>
        </w:tc>
        <w:tc>
          <w:tcPr>
            <w:tcW w:w="200" w:type="dxa"/>
          </w:tcPr>
          <w:p w:rsidR="00772A66" w:rsidRDefault="006D01B4">
            <w:pPr>
              <w:jc w:val="center"/>
            </w:pPr>
            <w:r>
              <w:rPr>
                <w:rFonts w:ascii="Times New Roman" w:hAnsi="Times New Roman"/>
                <w:sz w:val="24"/>
                <w:szCs w:val="24"/>
              </w:rPr>
              <w:t>допущена</w:t>
            </w:r>
          </w:p>
        </w:tc>
      </w:tr>
      <w:tr w:rsidR="00772A66">
        <w:tc>
          <w:tcPr>
            <w:tcW w:w="200" w:type="dxa"/>
          </w:tcPr>
          <w:p w:rsidR="00772A66" w:rsidRDefault="006D01B4">
            <w:pPr>
              <w:jc w:val="center"/>
            </w:pPr>
            <w:r>
              <w:rPr>
                <w:rFonts w:ascii="Times New Roman" w:hAnsi="Times New Roman"/>
                <w:sz w:val="24"/>
                <w:szCs w:val="24"/>
              </w:rPr>
              <w:t>70135</w:t>
            </w:r>
          </w:p>
        </w:tc>
        <w:tc>
          <w:tcPr>
            <w:tcW w:w="200" w:type="dxa"/>
          </w:tcPr>
          <w:p w:rsidR="00772A66" w:rsidRDefault="006D01B4">
            <w:pPr>
              <w:jc w:val="center"/>
            </w:pPr>
            <w:r>
              <w:rPr>
                <w:rFonts w:ascii="Times New Roman" w:hAnsi="Times New Roman"/>
                <w:sz w:val="24"/>
                <w:szCs w:val="24"/>
              </w:rPr>
              <w:t>допущена</w:t>
            </w:r>
          </w:p>
        </w:tc>
        <w:tc>
          <w:tcPr>
            <w:tcW w:w="200" w:type="dxa"/>
          </w:tcPr>
          <w:p w:rsidR="00772A66" w:rsidRDefault="006D01B4">
            <w:pPr>
              <w:jc w:val="center"/>
            </w:pPr>
            <w:r>
              <w:rPr>
                <w:rFonts w:ascii="Times New Roman" w:hAnsi="Times New Roman"/>
                <w:sz w:val="24"/>
                <w:szCs w:val="24"/>
              </w:rPr>
              <w:t>допущена</w:t>
            </w:r>
          </w:p>
        </w:tc>
        <w:tc>
          <w:tcPr>
            <w:tcW w:w="200" w:type="dxa"/>
          </w:tcPr>
          <w:p w:rsidR="00772A66" w:rsidRDefault="006D01B4">
            <w:pPr>
              <w:jc w:val="center"/>
            </w:pPr>
            <w:r>
              <w:rPr>
                <w:rFonts w:ascii="Times New Roman" w:hAnsi="Times New Roman"/>
                <w:sz w:val="24"/>
                <w:szCs w:val="24"/>
              </w:rPr>
              <w:t>допущена</w:t>
            </w:r>
          </w:p>
        </w:tc>
      </w:tr>
      <w:tr w:rsidR="00772A66">
        <w:tc>
          <w:tcPr>
            <w:tcW w:w="200" w:type="dxa"/>
          </w:tcPr>
          <w:p w:rsidR="00772A66" w:rsidRDefault="006D01B4">
            <w:pPr>
              <w:jc w:val="center"/>
            </w:pPr>
            <w:r>
              <w:rPr>
                <w:rFonts w:ascii="Times New Roman" w:hAnsi="Times New Roman"/>
                <w:sz w:val="24"/>
                <w:szCs w:val="24"/>
              </w:rPr>
              <w:t>72617</w:t>
            </w:r>
          </w:p>
        </w:tc>
        <w:tc>
          <w:tcPr>
            <w:tcW w:w="200" w:type="dxa"/>
          </w:tcPr>
          <w:p w:rsidR="00772A66" w:rsidRDefault="006D01B4">
            <w:pPr>
              <w:jc w:val="center"/>
            </w:pPr>
            <w:r>
              <w:rPr>
                <w:rFonts w:ascii="Times New Roman" w:hAnsi="Times New Roman"/>
                <w:sz w:val="24"/>
                <w:szCs w:val="24"/>
              </w:rPr>
              <w:t>не допущена</w:t>
            </w:r>
          </w:p>
        </w:tc>
        <w:tc>
          <w:tcPr>
            <w:tcW w:w="200" w:type="dxa"/>
          </w:tcPr>
          <w:p w:rsidR="00772A66" w:rsidRDefault="006D01B4">
            <w:pPr>
              <w:jc w:val="center"/>
            </w:pPr>
            <w:r>
              <w:rPr>
                <w:rFonts w:ascii="Times New Roman" w:hAnsi="Times New Roman"/>
                <w:sz w:val="24"/>
                <w:szCs w:val="24"/>
              </w:rPr>
              <w:t>не допущена</w:t>
            </w:r>
          </w:p>
        </w:tc>
        <w:tc>
          <w:tcPr>
            <w:tcW w:w="200" w:type="dxa"/>
          </w:tcPr>
          <w:p w:rsidR="00772A66" w:rsidRDefault="006D01B4">
            <w:pPr>
              <w:jc w:val="center"/>
            </w:pPr>
            <w:r>
              <w:rPr>
                <w:rFonts w:ascii="Times New Roman" w:hAnsi="Times New Roman"/>
                <w:sz w:val="24"/>
                <w:szCs w:val="24"/>
              </w:rPr>
              <w:t>не допущена</w:t>
            </w:r>
          </w:p>
        </w:tc>
      </w:tr>
      <w:tr w:rsidR="00772A66">
        <w:tc>
          <w:tcPr>
            <w:tcW w:w="200" w:type="dxa"/>
          </w:tcPr>
          <w:p w:rsidR="00772A66" w:rsidRDefault="006D01B4">
            <w:pPr>
              <w:jc w:val="center"/>
            </w:pPr>
            <w:r>
              <w:rPr>
                <w:rFonts w:ascii="Times New Roman" w:hAnsi="Times New Roman"/>
                <w:sz w:val="24"/>
                <w:szCs w:val="24"/>
              </w:rPr>
              <w:t>72957</w:t>
            </w:r>
          </w:p>
        </w:tc>
        <w:tc>
          <w:tcPr>
            <w:tcW w:w="200" w:type="dxa"/>
          </w:tcPr>
          <w:p w:rsidR="00772A66" w:rsidRDefault="006D01B4">
            <w:pPr>
              <w:jc w:val="center"/>
            </w:pPr>
            <w:r>
              <w:rPr>
                <w:rFonts w:ascii="Times New Roman" w:hAnsi="Times New Roman"/>
                <w:sz w:val="24"/>
                <w:szCs w:val="24"/>
              </w:rPr>
              <w:t>допущена</w:t>
            </w:r>
          </w:p>
        </w:tc>
        <w:tc>
          <w:tcPr>
            <w:tcW w:w="200" w:type="dxa"/>
          </w:tcPr>
          <w:p w:rsidR="00772A66" w:rsidRDefault="006D01B4">
            <w:pPr>
              <w:jc w:val="center"/>
            </w:pPr>
            <w:r>
              <w:rPr>
                <w:rFonts w:ascii="Times New Roman" w:hAnsi="Times New Roman"/>
                <w:sz w:val="24"/>
                <w:szCs w:val="24"/>
              </w:rPr>
              <w:t>допущена</w:t>
            </w:r>
          </w:p>
        </w:tc>
        <w:tc>
          <w:tcPr>
            <w:tcW w:w="200" w:type="dxa"/>
          </w:tcPr>
          <w:p w:rsidR="00772A66" w:rsidRDefault="006D01B4">
            <w:pPr>
              <w:jc w:val="center"/>
            </w:pPr>
            <w:r>
              <w:rPr>
                <w:rFonts w:ascii="Times New Roman" w:hAnsi="Times New Roman"/>
                <w:sz w:val="24"/>
                <w:szCs w:val="24"/>
              </w:rPr>
              <w:t>допущена</w:t>
            </w:r>
          </w:p>
        </w:tc>
      </w:tr>
    </w:tbl>
    <w:p w:rsidR="00834677" w:rsidRPr="0065384E" w:rsidRDefault="00834677" w:rsidP="00885B08">
      <w:pPr>
        <w:widowControl w:val="0"/>
        <w:autoSpaceDE w:val="0"/>
        <w:autoSpaceDN w:val="0"/>
        <w:adjustRightInd w:val="0"/>
        <w:spacing w:before="60" w:after="60" w:line="240" w:lineRule="auto"/>
        <w:jc w:val="both"/>
        <w:rPr>
          <w:rFonts w:ascii="Times New Roman" w:hAnsi="Times New Roman"/>
          <w:sz w:val="24"/>
          <w:szCs w:val="24"/>
        </w:rPr>
      </w:pPr>
    </w:p>
    <w:p w:rsidR="00885B08" w:rsidRPr="0065384E" w:rsidRDefault="00445364"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8. </w:t>
      </w:r>
      <w:r w:rsidR="004719BA" w:rsidRPr="0065384E">
        <w:rPr>
          <w:rFonts w:ascii="Times New Roman" w:hAnsi="Times New Roman"/>
          <w:sz w:val="24"/>
          <w:szCs w:val="24"/>
        </w:rPr>
        <w:t xml:space="preserve">На основании ч. 7 ст. 67 Федерального закона № 44-ФЗ направить настоящий протокол рассмотрения заявок на участие в аукционе в электронной форме на сайт ЭТП ГПБ по адресу в сети «Интернет»: </w:t>
      </w:r>
      <w:hyperlink r:id="rId5" w:history="1">
        <w:r w:rsidR="004719BA" w:rsidRPr="0065384E">
          <w:rPr>
            <w:rStyle w:val="ae"/>
            <w:rFonts w:ascii="Times New Roman" w:hAnsi="Times New Roman"/>
            <w:color w:val="auto"/>
            <w:sz w:val="24"/>
            <w:szCs w:val="24"/>
          </w:rPr>
          <w:t>https://etpgpb.ru/</w:t>
        </w:r>
      </w:hyperlink>
      <w:r w:rsidR="004719BA" w:rsidRPr="0065384E">
        <w:rPr>
          <w:rFonts w:ascii="Times New Roman" w:hAnsi="Times New Roman"/>
          <w:sz w:val="24"/>
          <w:szCs w:val="24"/>
        </w:rPr>
        <w:t>.</w:t>
      </w:r>
    </w:p>
    <w:p w:rsidR="00F7004F" w:rsidRPr="0065384E" w:rsidRDefault="000729C0"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Style w:val="a6"/>
          <w:rFonts w:ascii="Times New Roman" w:hAnsi="Times New Roman"/>
          <w:sz w:val="24"/>
          <w:szCs w:val="24"/>
          <w:shd w:val="clear" w:color="auto" w:fill="FFFFFF"/>
        </w:rPr>
        <w:t>Члены аукционной комиссии, присутствующие на заседании:</w:t>
      </w:r>
      <w:r w:rsidR="00F7004F" w:rsidRPr="0065384E">
        <w:rPr>
          <w:rFonts w:ascii="Times New Roman" w:hAnsi="Times New Roman"/>
          <w:sz w:val="24"/>
          <w:szCs w:val="24"/>
        </w:rPr>
        <w:t xml:space="preserve"> </w:t>
      </w:r>
    </w:p>
    <w:tbl>
      <w:tblPr>
        <w:tblW w:w="10312" w:type="dxa"/>
        <w:tblInd w:w="36" w:type="dxa"/>
        <w:tblLayout w:type="fixed"/>
        <w:tblCellMar>
          <w:left w:w="0" w:type="dxa"/>
          <w:right w:w="0" w:type="dxa"/>
        </w:tblCellMar>
        <w:tblLook w:val="04A0" w:firstRow="1" w:lastRow="0" w:firstColumn="1" w:lastColumn="0" w:noHBand="0" w:noVBand="1"/>
      </w:tblPr>
      <w:tblGrid>
        <w:gridCol w:w="2658"/>
        <w:gridCol w:w="4367"/>
        <w:gridCol w:w="3287"/>
      </w:tblGrid>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Председатель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Преловская Татьяна Владимировна</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Зам. председателя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Штеле Анастасия Павловна</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Член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Назаренко Ольга Андреевна</w:t>
            </w:r>
          </w:p>
        </w:tc>
      </w:tr>
    </w:tbl>
    <w:p w:rsidR="0065384E" w:rsidRPr="0065384E" w:rsidRDefault="0065384E">
      <w:pPr>
        <w:widowControl w:val="0"/>
        <w:autoSpaceDE w:val="0"/>
        <w:autoSpaceDN w:val="0"/>
        <w:adjustRightInd w:val="0"/>
        <w:spacing w:after="0" w:line="240" w:lineRule="auto"/>
        <w:ind w:firstLine="567"/>
        <w:jc w:val="both"/>
        <w:rPr>
          <w:rFonts w:ascii="Times New Roman" w:hAnsi="Times New Roman"/>
          <w:sz w:val="24"/>
          <w:szCs w:val="24"/>
        </w:rPr>
      </w:pPr>
    </w:p>
    <w:sectPr w:rsidR="0065384E" w:rsidRPr="0065384E">
      <w:pgSz w:w="11907" w:h="16840"/>
      <w:pgMar w:top="1077" w:right="567" w:bottom="964" w:left="1077" w:header="57" w:footer="56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165C"/>
    <w:multiLevelType w:val="hybridMultilevel"/>
    <w:tmpl w:val="F68E513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37B0181"/>
    <w:multiLevelType w:val="hybridMultilevel"/>
    <w:tmpl w:val="D384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4"/>
    <w:rsid w:val="00013EBB"/>
    <w:rsid w:val="00036041"/>
    <w:rsid w:val="000729C0"/>
    <w:rsid w:val="000A4D6F"/>
    <w:rsid w:val="00104F5B"/>
    <w:rsid w:val="00162BFC"/>
    <w:rsid w:val="001A6DF9"/>
    <w:rsid w:val="00252067"/>
    <w:rsid w:val="00272F23"/>
    <w:rsid w:val="002D3D3B"/>
    <w:rsid w:val="003257B1"/>
    <w:rsid w:val="004445AE"/>
    <w:rsid w:val="00445364"/>
    <w:rsid w:val="004719BA"/>
    <w:rsid w:val="004B5D27"/>
    <w:rsid w:val="005440BB"/>
    <w:rsid w:val="005442C0"/>
    <w:rsid w:val="005525D8"/>
    <w:rsid w:val="0065384E"/>
    <w:rsid w:val="00667F0F"/>
    <w:rsid w:val="006A3F66"/>
    <w:rsid w:val="006A7B20"/>
    <w:rsid w:val="006D01B4"/>
    <w:rsid w:val="006D6414"/>
    <w:rsid w:val="006E4CE0"/>
    <w:rsid w:val="00720EB0"/>
    <w:rsid w:val="00731624"/>
    <w:rsid w:val="007679C8"/>
    <w:rsid w:val="00772A66"/>
    <w:rsid w:val="00834677"/>
    <w:rsid w:val="00883ED2"/>
    <w:rsid w:val="00885B08"/>
    <w:rsid w:val="0089733A"/>
    <w:rsid w:val="00943A44"/>
    <w:rsid w:val="00951CF6"/>
    <w:rsid w:val="00973A04"/>
    <w:rsid w:val="009D6038"/>
    <w:rsid w:val="00A23BA3"/>
    <w:rsid w:val="00A56FC6"/>
    <w:rsid w:val="00B02CC9"/>
    <w:rsid w:val="00B71638"/>
    <w:rsid w:val="00BF1C7C"/>
    <w:rsid w:val="00C245D0"/>
    <w:rsid w:val="00C87B49"/>
    <w:rsid w:val="00C91FA0"/>
    <w:rsid w:val="00CE6036"/>
    <w:rsid w:val="00D9751F"/>
    <w:rsid w:val="00E23B43"/>
    <w:rsid w:val="00E42C18"/>
    <w:rsid w:val="00E7463B"/>
    <w:rsid w:val="00E74CD9"/>
    <w:rsid w:val="00E7772B"/>
    <w:rsid w:val="00E822EC"/>
    <w:rsid w:val="00EB28E6"/>
    <w:rsid w:val="00EF7102"/>
    <w:rsid w:val="00EF7A9C"/>
    <w:rsid w:val="00F118D8"/>
    <w:rsid w:val="00F7004F"/>
    <w:rsid w:val="00FB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E6BA436-01BD-4CA2-9DD7-FBE5F00A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C87B49"/>
    <w:rPr>
      <w:i/>
      <w:iCs/>
    </w:rPr>
  </w:style>
  <w:style w:type="paragraph" w:styleId="a5">
    <w:name w:val="Normal (Web)"/>
    <w:basedOn w:val="a"/>
    <w:uiPriority w:val="99"/>
    <w:semiHidden/>
    <w:unhideWhenUsed/>
    <w:rsid w:val="00C87B49"/>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C87B49"/>
    <w:rPr>
      <w:b/>
      <w:bCs/>
    </w:rPr>
  </w:style>
  <w:style w:type="character" w:styleId="a7">
    <w:name w:val="annotation reference"/>
    <w:uiPriority w:val="99"/>
    <w:semiHidden/>
    <w:unhideWhenUsed/>
    <w:rsid w:val="00C87B49"/>
    <w:rPr>
      <w:sz w:val="16"/>
      <w:szCs w:val="16"/>
    </w:rPr>
  </w:style>
  <w:style w:type="paragraph" w:styleId="a8">
    <w:name w:val="annotation text"/>
    <w:basedOn w:val="a"/>
    <w:link w:val="a9"/>
    <w:uiPriority w:val="99"/>
    <w:semiHidden/>
    <w:unhideWhenUsed/>
    <w:rsid w:val="00C87B49"/>
    <w:rPr>
      <w:sz w:val="20"/>
      <w:szCs w:val="20"/>
    </w:rPr>
  </w:style>
  <w:style w:type="character" w:customStyle="1" w:styleId="a9">
    <w:name w:val="Текст примечания Знак"/>
    <w:basedOn w:val="a0"/>
    <w:link w:val="a8"/>
    <w:uiPriority w:val="99"/>
    <w:semiHidden/>
    <w:rsid w:val="00C87B49"/>
  </w:style>
  <w:style w:type="paragraph" w:styleId="aa">
    <w:name w:val="annotation subject"/>
    <w:basedOn w:val="a8"/>
    <w:next w:val="a8"/>
    <w:link w:val="ab"/>
    <w:uiPriority w:val="99"/>
    <w:semiHidden/>
    <w:unhideWhenUsed/>
    <w:rsid w:val="00C87B49"/>
    <w:rPr>
      <w:b/>
      <w:bCs/>
    </w:rPr>
  </w:style>
  <w:style w:type="character" w:customStyle="1" w:styleId="ab">
    <w:name w:val="Тема примечания Знак"/>
    <w:link w:val="aa"/>
    <w:uiPriority w:val="99"/>
    <w:semiHidden/>
    <w:rsid w:val="00C87B49"/>
    <w:rPr>
      <w:b/>
      <w:bCs/>
    </w:rPr>
  </w:style>
  <w:style w:type="paragraph" w:styleId="ac">
    <w:name w:val="Balloon Text"/>
    <w:basedOn w:val="a"/>
    <w:link w:val="ad"/>
    <w:uiPriority w:val="99"/>
    <w:semiHidden/>
    <w:unhideWhenUsed/>
    <w:rsid w:val="00C87B49"/>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C87B49"/>
    <w:rPr>
      <w:rFonts w:ascii="Segoe UI" w:hAnsi="Segoe UI" w:cs="Segoe UI"/>
      <w:sz w:val="18"/>
      <w:szCs w:val="18"/>
    </w:rPr>
  </w:style>
  <w:style w:type="character" w:styleId="ae">
    <w:name w:val="Hyperlink"/>
    <w:uiPriority w:val="99"/>
    <w:unhideWhenUsed/>
    <w:rsid w:val="000729C0"/>
    <w:rPr>
      <w:color w:val="0563C1"/>
      <w:u w:val="single"/>
    </w:rPr>
  </w:style>
  <w:style w:type="character" w:customStyle="1" w:styleId="af">
    <w:name w:val="Неразрешенное упоминание"/>
    <w:uiPriority w:val="99"/>
    <w:semiHidden/>
    <w:unhideWhenUsed/>
    <w:rsid w:val="00471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1937">
      <w:bodyDiv w:val="1"/>
      <w:marLeft w:val="0"/>
      <w:marRight w:val="0"/>
      <w:marTop w:val="0"/>
      <w:marBottom w:val="0"/>
      <w:divBdr>
        <w:top w:val="none" w:sz="0" w:space="0" w:color="auto"/>
        <w:left w:val="none" w:sz="0" w:space="0" w:color="auto"/>
        <w:bottom w:val="none" w:sz="0" w:space="0" w:color="auto"/>
        <w:right w:val="none" w:sz="0" w:space="0" w:color="auto"/>
      </w:divBdr>
    </w:div>
    <w:div w:id="1021274661">
      <w:bodyDiv w:val="1"/>
      <w:marLeft w:val="0"/>
      <w:marRight w:val="0"/>
      <w:marTop w:val="0"/>
      <w:marBottom w:val="0"/>
      <w:divBdr>
        <w:top w:val="none" w:sz="0" w:space="0" w:color="auto"/>
        <w:left w:val="none" w:sz="0" w:space="0" w:color="auto"/>
        <w:bottom w:val="none" w:sz="0" w:space="0" w:color="auto"/>
        <w:right w:val="none" w:sz="0" w:space="0" w:color="auto"/>
      </w:divBdr>
    </w:div>
    <w:div w:id="1165507824">
      <w:bodyDiv w:val="1"/>
      <w:marLeft w:val="0"/>
      <w:marRight w:val="0"/>
      <w:marTop w:val="0"/>
      <w:marBottom w:val="0"/>
      <w:divBdr>
        <w:top w:val="none" w:sz="0" w:space="0" w:color="auto"/>
        <w:left w:val="none" w:sz="0" w:space="0" w:color="auto"/>
        <w:bottom w:val="none" w:sz="0" w:space="0" w:color="auto"/>
        <w:right w:val="none" w:sz="0" w:space="0" w:color="auto"/>
      </w:divBdr>
    </w:div>
    <w:div w:id="1897472935">
      <w:bodyDiv w:val="1"/>
      <w:marLeft w:val="0"/>
      <w:marRight w:val="0"/>
      <w:marTop w:val="0"/>
      <w:marBottom w:val="0"/>
      <w:divBdr>
        <w:top w:val="none" w:sz="0" w:space="0" w:color="auto"/>
        <w:left w:val="none" w:sz="0" w:space="0" w:color="auto"/>
        <w:bottom w:val="none" w:sz="0" w:space="0" w:color="auto"/>
        <w:right w:val="none" w:sz="0" w:space="0" w:color="auto"/>
      </w:divBdr>
    </w:div>
    <w:div w:id="19152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gp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10492</CharactersWithSpaces>
  <SharedDoc>false</SharedDoc>
  <HLinks>
    <vt:vector size="6" baseType="variant">
      <vt:variant>
        <vt:i4>3997822</vt:i4>
      </vt:variant>
      <vt:variant>
        <vt:i4>0</vt:i4>
      </vt:variant>
      <vt:variant>
        <vt:i4>0</vt:i4>
      </vt:variant>
      <vt:variant>
        <vt:i4>5</vt:i4>
      </vt:variant>
      <vt:variant>
        <vt:lpwstr>https://etpgpb.ru/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subject/>
  <dc:creator>paggard</dc:creator>
  <cp:keywords/>
  <cp:lastModifiedBy>Olga Nazarenko</cp:lastModifiedBy>
  <cp:revision>2</cp:revision>
  <cp:lastPrinted>2020-04-23T03:32:00Z</cp:lastPrinted>
  <dcterms:created xsi:type="dcterms:W3CDTF">2020-04-23T03:32:00Z</dcterms:created>
  <dcterms:modified xsi:type="dcterms:W3CDTF">2020-04-23T03:32:00Z</dcterms:modified>
</cp:coreProperties>
</file>